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D-6762/2006 vom 14. August 2007</w:t>
      </w:r>
    </w:p>
    <w:p>
      <w:r>
        <w:t>Bundesverwaltungsgericht, 2007-08-14, DE</w:t>
      </w:r>
    </w:p>
    <w:p>
      <w:r>
        <w:rPr>
          <w:b/>
        </w:rPr>
        <w:t xml:space="preserve">Quelle: </w:t>
      </w:r>
      <w:r>
        <w:t>https://mcp.opencaselaw.ch/entscheid/bvger_D-6762_2006</w:t>
      </w:r>
    </w:p>
    <w:p>
      <w:r>
        <w:t>FR: TAF D-6762/2006 du 14 août 2007</w:t>
      </w:r>
    </w:p>
    <w:p>
      <w:r>
        <w:t>IT: TAF D-6762/2006 del 14 agosto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am 1. Januar 2007 die Beurteilung der bei der ehemaligen ARK hängigen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Aufgrund der Strafanträge vom 9. Juni 2006, vom 22. September 2006 sowie vom 5. Oktober 2006 wird das Verfahren der Beschwerdeführer von demjenigen des Ex-Ehemannes beziehungsweise Vaters getrennt geführt und es ergeht ein separates Urteil.</w:t>
      </w:r>
    </w:p>
    <w:p>
      <w:r>
        <w:rPr>
          <w:b/>
        </w:rPr>
        <w:t>E. 2</w:t>
      </w:r>
    </w:p>
    <w:p>
      <w:r>
        <w:t>Die Beschwerde ist form- und fristgerecht eingereicht; die Beschwerdeführer sind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Bei der Beurteilung, ob die Flüchtlingseigenschaft glaubhaft gemacht ist, geht es um eine Gesamtwürdigung aller Sachverhaltselemente, die für oder gegen die asylsuchende Person sprechen (vgl. Entscheidungen und Mitteilungen der Schweizerischen Asylrekurskommission/EMARK 1996 Nr. 28 E. 3a S. 270). Für die Glaubhaftigkeit der Fluchtvorbringen sprechen insbesondere: Übereinstimmung zwischen den verschiedenen Befragungen mit den Beweismitteln und Indizien sowie mit der allgemeinen Lage im Heimatgebiet, (Vereinbarkeit mit dem dortigen Verfolgungsmuster etc.), Kohärenz, Substanziiertheit, Plausibilität, Schlüssigkeit, Korrektheit und Originalität der Angaben, persönliche Glaubwürdigkeit und Offenheit (vgl. Walter Stöckli, Asyl, in: Peter Uebersax/Peter Münch/Thomas Geiser/Martin Arnold {Hrsg.}, Ausländerrecht, Handbücher für die Anwaltspraxis, Band VIII, Basel u.a. 2002, S. 365, Rz. 8.126). Glaubhaft ist eine Sachverhaltsdarstellung dann, wenn die positiven Elemente überwiegen. Für die Glaubhaftmachung reicht es deshalb nicht aus, wenn der Inhalt der Vorbringen zwar möglich ist, aber in Würdigung der gesamten Aspekte wesentliche und überwiegende Umstände gegen die vorgebrachte Sachverhaltsdarstellung sprechen (vgl. EMARK 1996 Nr. 28 E. 3a S. 270).</w:t>
      </w:r>
    </w:p>
    <w:p>
      <w:r>
        <w:rPr>
          <w:b/>
        </w:rPr>
        <w:t>E. 4.2</w:t>
      </w:r>
    </w:p>
    <w:p>
      <w:r>
        <w:t>Mit Urteil des Bundesverwaltungsgerichts vom 2. Juli 2007 wurde die Beschwerde des ehemaligen Ehemannes der Beschwerdeführerin abgewiesen. Soweit die Beschwerdeführerin ihre eigene Verfolgung von derjenigen ihres Ex-Ehemannes ableitet (Reflexverfolgung, siehe zur Kommissionspraxis betreffend Reflexverfolgung EMARK 2005 Nr. 21 S. 199 f., EMARK 1994 Nr. 17 S. 132 ff., EMARK 1994 Nr. 5 S. 39 ff., EMARK 1993 Nr. 39 S. 283 ff., EMARK 1993 Nr. 37 S. 263 ff., EMARK 1993 Nr. 6 S. 36 ff.), entbehren ihre Vorbringen folglich jeglicher Grundlage. Überdies lassen sich aus den protokollierten Aussagen der Beschwerdeführerin keine glaubhaften Anhaltspunkte dafür entnehmen, diese sei in der Türkei aus anderen Gründen in asylrechtlich relevanter Weise verfolgt worden. So gab die Beschwerdeführerin anlässlich der Kurzbefragung in der Empfangsstelle zu Protokoll, nach der Rückkehr zu ihrer Mutter in F._______ habe sie keine Probleme mit den Behörden gehabt (vgl. B1/ S. 5). Dort will sie sich seit September 2002 wieder aufgehalten haben (vgl. B1/ S. 1) und es sei ihr nichts geschehen (vgl. B7/S. 7). Dass sie an dieser Adresse versteckt gelebt haben will, erscheint unglaubhaft, zumal sie dort für die Sicherheitskräfte leicht auffindbar gewesen wäre, falls sie von diesen tatsächlich gesucht geworden wäre. Trotz des geltend gemachten jahrelangen politischen Engagements, welches bereits vor der Heirat bestanden und zu mehrmaligen kurzen Festnahmen geführt haben soll, will die Beschwerdeführerin nach eigenen Angaben nie vor Gericht gestanden haben (vgl. B7/S. 7). Auch dieses Vorbringen spricht gegen ein asylrechtlich relevantes Verfolgungsinteresse der türkischen Behörden, die notorisch rasch mit Strafverfahren auf politisch missliebige Aktivitäten reagieren. Zusammenfassend ist festzustellen, dass die politischen Aktivitäten der Beschwerdeführerin und die davon abgeleiteten Verfolgungshandlungen insgesamt als unglaubhaft erscheinen. Somit erfüllen die Beschwerdeführerin und ihr Kind die Flüchtlingseigenschaft nicht, weshalb die Vorinstanz ihre Asylgesuche zu Recht abgewiesen hat. Es erübrigt sich deshalb, im Asylpunkt auf die weiteren Vorbringen im Einzelnen einzugehen, da diese nicht zu einem anderen Ergebnis zu führen vermöchten.</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vom 26. März 1931 [ANAG,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5.3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5.4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5.5</w:t>
      </w:r>
    </w:p>
    <w:p>
      <w:r>
        <w:t>Die Beschwerdeführer verfügen weder über eine fremdenpolizeiliche Aufenthaltsbewilligung noch einen Anspruch auf Erteilung einer solchen. Die Wegweisung wurde demnach zu Recht angeordnet (Art. 44 Abs. 1 AsylG, EMARK 2001 Nr. 21).</w:t>
      </w:r>
    </w:p>
    <w:p>
      <w:r>
        <w:rPr>
          <w:b/>
        </w:rPr>
        <w:t>E. 5.6</w:t>
      </w:r>
    </w:p>
    <w:p>
      <w:r>
        <w:t>Die Vorinstanz wies in ihrer angefochtenen Verfügung zutreffend darauf hin, dass der Grundsatz der Nichtrückschiebung nur Personen schützt, die die Flüchtlingseigenschaft erfüllen (vgl. Mario Gattiker, Das Asyl- und Wegweisungsverfahren,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in ihren Heimatstaat ist demnach unter dem Aspekt von Art. 5 AsylG rechtmässig.</w:t>
      </w:r>
    </w:p>
    <w:p>
      <w:r>
        <w:rPr>
          <w:b/>
        </w:rPr>
        <w:t>E. 5.7</w:t>
      </w:r>
    </w:p>
    <w:p>
      <w:r>
        <w:t>Sodann ergeben sich weder aus den Aussagen der Beschwerdeführer noch aus den Akten Anhaltspunkte dafür, dass sie für den Fall einer Ausschaffung in ihren Heimatstaat dort mit beachtlicher Wahrscheinlichkeit einer nach Art. 3 EMRK oder Art. 1 FoK verbotenen Strafe oder Behandlung ausgesetzt wären. Gemäss Praxis des Europäischen Gerichtshofes für Menschenrechte sowie jener des UN-Anti-Folterausschusses müssten die Beschwerdeführer eine konkrete Gefahr ("real risk") nachweisen oder glaubhaft machen, dass ihnen im Fall einer Rückschiebung Folter oder unmenschliche Behandlung drohen würde (vgl. EMARK 2001 Nr. 16 S. 122, m.w.H.). Die allgemeine Menschenrechtssituation in ihrem Heimatstaat lässt den Wegweisungsvollzug zum heutigen Zeitpunkt klarerweise nicht als unzulässig erscheinen. Nach dem Gesagten ist der Vollzug der Wegweisung sowohl im Sinne der asyl- als auch der völkerrechtlichen Bestimmungen zulässig.</w:t>
      </w:r>
    </w:p>
    <w:p>
      <w:r>
        <w:rPr>
          <w:b/>
        </w:rPr>
        <w:t>E. 5.8</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medizinischen Behandlung, angenommen werden (vgl. Botschaft zum Bundesbeschluss über das Asylverfahren vom 22. Juni 1990, BBl 1990 II 668).</w:t>
      </w:r>
    </w:p>
    <w:p>
      <w:r>
        <w:rPr>
          <w:b/>
        </w:rPr>
        <w:t>E. 5.9</w:t>
      </w:r>
    </w:p>
    <w:p>
      <w:r>
        <w:t>Die Beschwerdeführerin leidet an Endokarditis (Entzündung der Herzinnenhaut) mit mässigem Risiko. Grundsätzlich anerkennt der Europäischen Gerichtshof für Menschenrechte (EGMR) keinen durch die EMRK geschützten Anspruch auf Verbleib in einem Konventionsstaat, um weiterhin in den Genuss medizinischer, sozialer oder anderer Formen der Unterstützung zu kommen. Nur bei Vorliegen aussergewöhnlicher Umstände anerkennt der EGMR ausnahmsweise, dass bei einem kranken Ausländer der Vollzug einer Entfernungsmassnahme gegen Art. 3 EMRK verstossen könnte (vgl. EMARK 2005 Nr. 23 E. 5.1. S. 211 f.). Er hat dies bis Mitte 2006 lediglich im Urteil D. gegen Vereinigtes Königreich (Grossbritannien) im Jahre 1997 festgestellt (vgl. Martina Caroni, Die Praxis des Europäischen Gerichtshofes für Menschenrechte im Bereich des Ausländer- und Asylrechtes, in: Alberto Achermann, Martina Caroni, Astrid Epiney, Walter Kälin, Mingh Son Nguyen (Hrsg.), Jahrbuch für Migrationsrecht 2005/2006, Bern 2006, S. 194 und Die Praxis des Europäischen Gerichtshofes für Menschenrechte im Bereich des Ausländer- und Asylrechtes, in: Alberto Achermann, Astrid Epiney, Walter Kälin, Mingh Son Nguyen (Hrsg.), Jahrbuch für Migrationsrecht 2004/2005, Bern 2005, S. 197). Kein anderer Fall danach, in dem (direkt oder zumindest indirekt) mit einer asyl- oder ausländerrechtlichen Entfernungsmassnahme zusammenhängende medizinische Gründe oder eine fehlende beziehungsweise nur auf einem tieferen Niveau erhältliche medizinische Behandlung im Heimat- oder Herkunftsland geltend gemacht worden war, vermochte die hohe Hürde von Art. 3 EMRK zu überwinden. Folglich gebietet Art. 3 EMRK nicht die Aufnahme aller kranken oder pflegebedürftigen Personen aus Staaten, in denen mangels eines ausgebauten Gesundheitssystems im Heimatstaat schlechtere Behandlungsmöglichkeiten als im Aufenthaltsstaat zur Verfügung stehen (vgl. Urteil des EGMR vom 6. Februar 2001 i.S. Bensaid gegen Vereinigtes Königreich, Erw. 38, Beschwerde Nr. 44599/98; Unzulässigkeitsentscheid des EGMR vom 29. Juni 2004 i.S. Salkic und andere gegen Schweden, Nr. 7702/04, S. 10 {englische Version}; EMARK 2004 Nr. 6 E. 7b S. 41 f. und Nr. 7 E. 5c.bb S. 47 f., Bundesgerichtsurteil vom 30. September 2002 i.S. A. und B. gegen Service de la population du canton de Vaud, Erw. 2.3, angeführt in: SZIER 3/2003, S. 308, Bundesgerichtsurteil vom 3. Februar 2004 i.S. A. alias X. gegen Commission de libération du canton de Vaud et Tribunal cantonal du canton de Vaud {6A.87/2003}, Erw. 4.2, angeführt in: SZIER 3/2004, S. 297). Ein im Vergleich zur Schweiz allfälliger schlechterer medizinischer Standard in der Türkei für die weitere medizinische Betreuung der Beschwerdeführerin stellt unter dem Blickwinkel von Art. 3 EMRK somit kein völkerrechtliches Vollzugshindernis dar. Diese Beurteilung rechtfertigt sich umso mehr, als auch gar keine medizinischen Belege eingereicht wurden, welche einen weiteren Aufenthalt der Beschwerdeführerin aus gesundheitlichen Gründen als zwingend erachten würden. Somit liegen keine aussergewöhnlichen Umstände im Sinne der Rechtsprechung des EGMR vor. Nach dem Gesagten ist der Vollzug der Wegweisung sowohl im Sinne der asyl- als auch der völkerrechtlichen Bestimmungen zulässig.</w:t>
      </w:r>
    </w:p>
    <w:p>
      <w:r>
        <w:rPr>
          <w:b/>
        </w:rPr>
        <w:t>E. 5.10</w:t>
      </w:r>
    </w:p>
    <w:p>
      <w:r>
        <w:t>Allfällige wirtschaftliche Schwierigkeiten, von denen die Beschwerdeführer nach der Rückkehr betroffen sein könnten, stellen grundsätzlich keine die Existenz bedrohende Situation dar, welche den Vollzug der Wegweisung in den Heimatstaat als unzumutbar erscheinen lassen (vgl. EMARK 1994 Nr. 19 S. 149). Der Lage geschiedener Frauen ist jedoch insbesondere in muslimisch geprägten Ländern besondere Beachtung zu schenken. Die Beschwerdeführerin lebte vor ihrer Ausreise als geschiedene Frau mit einem Kind in F._______. Sie macht nicht geltend, damals wegen ihrer Scheidung von Hunger, Obdachlosigkeit, gesellschaftlicher Ausgrenzung oder Armut bedroht gewesen zu sein oder unter solchen Umständen gelebt zu haben. Die Aussage, als allein stehende Mutter sei ihr das Leben sehr schwer vorgekommen (vgl. B1/ S. 4), genügt nicht, um eine existenzbedrohende Lage glaubhaft zu machen. Es ist somit davon auszugehen, dass sie in F._______ über ausreichende Mittel und Wege verfügt haben muss, die es ihr erlaubten, ihren Lebensunterhalt zu bestreiten, obwohl sie angeblich dort nicht gearbeitet haben will. Mit Schreiben vom 16. November 2006 gelangte das Nottelefon J._______ an das BFM und führte aus, dass der geschiedene Ehemann der Beschwerdeführerin dieser gegenüber wiederholt gewalttätig geworden sei. Unter anderem habe er die Beschwerdeführerin mit dem Tode bedroht und ihr die Entführung des Kindes angedroht. Mit Schreiben vom 11. Juni 2007 gelangte der geschiedene Ehemann der Beschwerdeführerin an das D._______ des Kantons Basel-Land und machte verschiedene Angaben über den Aufenthalt der Beschwerdeführerin in der Schweiz. Demnach legt der geschiedene Ehemann der Beschwerdeführerin nicht nur aktenkundig ein gewalttätiges Verhalten an den Tag, sondern er glaubt offenbar nach wie vor, er müsse sich in die Belange seiner seit dem Jahre 2002 von ihm geschiedenen Ehefrau einmischen. Gemäss dem Fortschrittsbericht zum Stand der Vorbereitungen für die EU-Mitgliedschaft der Türkei von 2006 ("Türkei-Fortschrittsbericht 2006) wurde, was die Rechte der Frau anbetrifft, ein Bericht des parlamentarischen Ad-hoc-Ausschusses zur Verhütung von Ehrenmorden und zur Bekämpfung der Gewalt gegen Frauen und Kinder vorgelegt. Dieser Bericht umfasst praktische Empfehlungen, über die in den Medien ausführlich berichtet wurde. Das Amt des Ministerpräsidenten gab zudem im März 2005 ein Rundschreiben heraus, in dem die Bekämpfung der Gewalt als prioritäre Aufgabe dargestellt wurde und die erforderlichen Massnahmen sowie die hierfür zuständigen staatlichen Stellen aufgeführt waren. Die Gesamtkoordinierung der Massnahmen wurde der Generaldirektion für den Status der Frauen übertragen. Sollte der geschiedene Ehemann die Beschwerdeführerin nach deren Rückkehr in die Türkei erneut behelligen, könnte sich die Beschwerdeführerin an die zuständigen Behörden wenden und um Schutz ersuchen. Häusliche Gewalt ist in der türkischen Öffentlichkeit kein Tabu-Thema mehr. Im Oktober 2004 rief die Tageszeitung "Hürriyet" in Zusammenarbeit mit der Stiftung für moderne Erziehung und dem Amt des Gouverneurs von F._______ eine Kampagne gegen häusliche Gewalt ins Leben. Mittlerweile ist bereits die zweite Phase dieser Kampagne angelaufen. Insgesamt finden die Rechte der Frau in der türkischen Öffentlichkeit zunehmend Beachtung. Es ist demnach davon auszugehen, dass die zuständigen türkischen Behörden diesbezüglich sensibilisiert sind und der Beschwerdeführerin den allenfalls erforderlichen Schutz gewähren. Bei der Beschwerdeführerin handelt es sich um eine junge, gut gebildete Mutter, die in F._______ in der Person ihrer Mutter und ihrer Schwester über ein soziales Netz verfügt. Gemäss ihren eigenen Angaben ist sie nach ihrer Scheidung im Jahre 2002 von H._______ nach F._______ gezogen, wo sie offenbar bis zu ihrer Ausreise im August 2003 lebte, ohne dass ihr in H._______, von der Mutter getrennt lebender Vater ihr wegen der Scheidung Leid zugefügt oder sie verstossen hätte. Es ist ihr deshalb zumutbar, nach F._______ zurückzukehren</w:t>
      </w:r>
    </w:p>
    <w:p>
      <w:r>
        <w:rPr>
          <w:b/>
        </w:rPr>
        <w:t>E. 5.11</w:t>
      </w:r>
    </w:p>
    <w:p>
      <w:r>
        <w:t>Es bleibt zu prüfen, ob die gesundheitlichen Beschwerden der Beschwerdeführerin ein individuelles Vollzugshindernis bilden könnten. Entsprechen die Behandlungsmöglichkeiten im Herkunftsland nicht dem medizinischen Standard in der Schweiz, macht dies allein den Vollzug noch nicht unzumutbar, hingegen dann, wenn die ungenügende Möglichkeit der Weiterbehandlung eine drastische und lebensbedrohende Verschlechterung des Gesundheitszustandes nach sich zieht (vgl. EMARK 2003 Nr. 24 E. 5b S. 157 f., EMARK 2004 Nr. 7 E. 5d S. 50 ff.). Letztere Bedingungen sind für die Beschwerdeführerin nicht erfüllt, da keine entsprechenden medizinischen Belege eingereicht wurden. Aufgrund der Aktenlage und nach den Erkenntnissen des Bundesverwaltungsgerichts über das Gesundheitswesen in der Türkei ist davon auszugehen, dass der Beschwerdeführerin die Möglichkeit offen steht, ihr Leiden in ihrem Heimatland behandeln zu lassen. Zudem kann die Beschwerdeführerin bei der Vorinstanz unter Vorlage entsprechender ärztlicher Atteste medizinische Rückkehrhilfe beantragen (Art. 93 Abs. 1 Bst. c AsyIG i.V.m. Art. 75 AsylV 2), was allfällige negative gesundheitliche Folgen der Rückkehr mildern wird. In casu überwiegt deshalb das öffentliche Interesse am Vollzug der Wegweisung. Der Vollzug der Wegweisung ist demnach im Sinne von Art. 14a Abs. 4 ANAG als zumutbar zu erachten.</w:t>
      </w:r>
    </w:p>
    <w:p>
      <w:r>
        <w:rPr>
          <w:b/>
        </w:rPr>
        <w:t>E. 5.12</w:t>
      </w:r>
    </w:p>
    <w:p>
      <w:r>
        <w:t>Schliesslich obliegt es den Beschwerdeführern, sich bei der zuständigen Vertretung ihres Heimatstaates die für eine Rückkehr notwendigen Reisedokumente zu beschaffen (Art. 8 Abs. 4 AsylG), weshalb der Vollzug der Wegweisung auch als möglich zu bezeichnen ist.</w:t>
      </w:r>
    </w:p>
    <w:p>
      <w:r>
        <w:rPr>
          <w:b/>
        </w:rPr>
        <w:t>E. 5.13</w:t>
      </w:r>
    </w:p>
    <w:p>
      <w:r>
        <w:t>Insgesamt ist die durch die Vorinstanz verfügte Wegweisung zu bestätigen. Die Vorinstanz hat deren Vollzug zu Recht als zulässig, zumutbar und möglich erachtet. Nach dem Gesagten fällt eine Anordnung der vorläufigen Aufnahme ausser Betracht (Art. 14a Abs. 1 - 4 ANAG).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die Kosten von Fr. 600.-- den Beschwerdeführern aufzuerlegen (Art. 63 Abs. 1 VwVG). Da die Beschwerde nicht als von vornherein aussichtslos bezeichnet werden konnte und die Beschwerdeführerin nach wie vor keiner Erwerbstätigkeit nachgeht und somit als bedürftig zu gelten hat, wird in Gutheissung des Gesuchs um Gewährung der unentgeltlichen Rechtspflege im Sinne von Art. 65 Abs. 1 VwVG auf die Auferlegung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