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D-6757/2023 vom 27. November 2023</w:t>
      </w:r>
    </w:p>
    <w:p>
      <w:r>
        <w:t>Bundesverwaltungsgericht, 2023-11-27, DE</w:t>
      </w:r>
    </w:p>
    <w:p>
      <w:r>
        <w:rPr>
          <w:b/>
        </w:rPr>
        <w:t xml:space="preserve">Quelle: </w:t>
      </w:r>
      <w:r>
        <w:t>https://mcp.opencaselaw.ch/entscheid/bvger_D-6757_2023_d20231127</w:t>
      </w:r>
    </w:p>
    <w:p>
      <w:r>
        <w:t>FR: TAF D-6757/2023 du 27 novembre 2023</w:t>
      </w:r>
    </w:p>
    <w:p>
      <w:r>
        <w:t>IT: TAF D-6757/2023 del 27 novembre 2023</w:t>
      </w:r>
    </w:p>
    <w:p>
      <w:pPr>
        <w:pStyle w:val="Heading2"/>
      </w:pPr>
      <w:r>
        <w:t>Regeste</w:t>
      </w:r>
    </w:p>
    <w:p>
      <w:r>
        <w:t>Nichteintreten auf Asylgesuch und Wegweisung (Dublin-Verfahren - Art. 31a Abs. 1 Bst. b AsylG) | Nichteintreten auf Asylgesuch und Wegweisung (Dublin-Verfahren); Verfügung des SEM vom 27. November 2023</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i.V.m. Art. 31‒33 VGG; Art. 83 Bst. d Ziff. 1 BGG).</w:t>
      </w:r>
    </w:p>
    <w:p>
      <w:r>
        <w:rPr>
          <w:b/>
        </w:rPr>
        <w:t>E. 1.2</w:t>
      </w:r>
    </w:p>
    <w:p>
      <w:r>
        <w:t>Der Beschwerdeführer und seine Kinder haben am vorinstanzlichen Verfahren teilgenommen, sind durch die angefochtene Verfügung beson- ders berührt und haben ein schutzwürdiges Interesse an deren Aufhebung beziehungsweise Änderung. Sie sind daher zur Einreichung der Be- schwerde legitimiert (Art. 105 AsylG i.V.m. Art. 37 VGG und Art. 48 Abs. 1 VwVG). Auf die frist- und formgerecht eingereichte Beschwerde ist einzu- treten (Art. 108 Abs. 3 AsylG; Art. 105 AsylG i.V.m. Art. 37 VGG und Art. 52 Abs. 1 VwVG).</w:t>
      </w:r>
    </w:p>
    <w:p>
      <w:r>
        <w:rPr>
          <w:b/>
        </w:rPr>
        <w:t>E. 2</w:t>
      </w:r>
    </w:p>
    <w:p>
      <w:r>
        <w:t>Die Kognition des Bundesverwaltungsgerichts und die zulässigen Rügen richten sich im Asylbereich nach Art. 106 Abs. 1 AsylG (vgl. BVGE 2014/26 E. 5).</w:t>
      </w:r>
    </w:p>
    <w:p>
      <w:r>
        <w:rPr>
          <w:b/>
        </w:rPr>
        <w:t>E. 3.1</w:t>
      </w:r>
    </w:p>
    <w:p>
      <w:r>
        <w:t>Über offensichtlich begründete Beschwerden wird in einzelrichterlicher Zuständigkeit mit Zustimmung eines zweiten Richters entschieden (Art. 111 Bst. e AsylG). Wie nachstehend aufgezeigt, handelt es sich um eine solche.</w:t>
      </w:r>
    </w:p>
    <w:p>
      <w:r>
        <w:rPr>
          <w:b/>
        </w:rPr>
        <w:t>E. 3.2</w:t>
      </w:r>
    </w:p>
    <w:p>
      <w:r>
        <w:t>Gestützt auf Art. 111a Abs. 1 AsylG wurde auf die Durchführung eines Schriftenwechsels verzichtet.</w:t>
      </w:r>
    </w:p>
    <w:p>
      <w:r>
        <w:rPr>
          <w:b/>
        </w:rPr>
        <w:t>E. 4</w:t>
      </w:r>
    </w:p>
    <w:p>
      <w:r>
        <w:t>Bei Beschwerden gegen Nichteintretensentscheide, mit denen es das SEM ablehnt, das Asylgesuch auf seine Begründetheit hin zu überprüfen (Art. 31a Abs. 1–3 AsylG), ist die Beurteilungskompetenz der Beschwerde- instanz grundsätzlich auf die Frage beschränkt, ob die Vorinstanz zu Recht auf das Asylgesuch nicht eingetreten ist (vgl. BVGE 2017 VI/5 E. 3.1; 2012/4 E. 2.2, je m.w.H.).</w:t>
      </w:r>
    </w:p>
    <w:p>
      <w:r>
        <w:rPr>
          <w:b/>
        </w:rPr>
        <w:t>E. 5.1</w:t>
      </w:r>
    </w:p>
    <w:p>
      <w:r>
        <w:t>Auf Asylgesuche wird in der Regel nicht eingetreten, wenn Asylsu- chende in einen Drittstaat ausreisen können, der für die Durchführung des</w:t>
      </w:r>
    </w:p>
    <w:p>
      <w:r>
        <w:t>D-6757/2023 Seite 6 Asyl- und Wegweisungsverfahrens staatsvertraglich zuständig ist (Art. 31a Abs. 1 Bst. b AsylG). Zur Bestimmung des zuständigen Staats prüft das SEM die Zuständigkeitskriterien gemäss Dublin-III-VO. Führt diese Prü- fung zur Feststellung, dass ein anderer Mitgliedstaat für die Prüfung des Asylgesuchs zuständig ist, tritt das SEM, nachdem der betreffende Mit- gliedstaat einer Überstellung oder Rücküberstellung explizit oder implizit zugestimmt hat, auf das Asylgesuch nicht ein (vgl. BVGE 2017 VI/5 E. 6.2).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 hier interessierenden – Wiederaufnahmeverfahrens (Art. 23–25 Dublin- III-VO) findet grundsätzlich keine (neue) Zuständigkeitsprüfung nach Kapi- tel III Dublin-III-VO mehr statt. Die Zuständigkeit beziehungsweise die Ver- pflichtung des Mitgliedstaates zur Wiederaufnahme ergibt sich direkt aus Art. 18 Abs. 1 Bst. b–d beziehungsweise Art. 20 Abs. 5 Dublin-III-VO (vgl. Urteil des Europäischen Gerichtshofs [EuGH; Grosse Kammer] vom 2. Ap- ril 2019, Staatssecretaris van Veiligheid en Justitie gegen H. und R., C-582/17 und C-583/17, Rn. 47–50; BVGE 2019 VI/7 E. 4-6, 2017 VI/5 E. 6.2 und E. 8.2.1 m.H.).</w:t>
      </w:r>
    </w:p>
    <w:p>
      <w:r>
        <w:rPr>
          <w:b/>
        </w:rPr>
        <w:t>E. 5.3</w:t>
      </w:r>
    </w:p>
    <w:p>
      <w:r>
        <w:t>Der Mitgliedstaat, bei dem der erste Antrag auf internationalen Schutz gestellt wurde, ist gehalten, einen Antragsteller, der sich ohne Aufenthalts- 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 23, 24, 25 und 29 wieder aufzunehmen, um das Verfahren zur Bestimmung des zuständigen Mitgliedstaats zum Abschluss zu bringen (Art. 20 Abs. 5 Dublin-III-VO). Diese Bestimmung findet auch – wie vorliegend – im Falle der Weiterreise eines Antragstellers in einen anderen Mitgliedstaat bei noch nicht abgeschlossenem Zuständigkeitsverfahren Anwendung (vgl. CHRISTIAN FILZWIESER/ANDREA SPRUNG, Dublin-III-Verordnung, Das euro- päische Asylzuständigkeitssystem, 2014, K 19 zu Art. 20).</w:t>
      </w:r>
    </w:p>
    <w:p>
      <w:r>
        <w:t>D-6757/2023 Seite 7</w:t>
      </w:r>
    </w:p>
    <w:p>
      <w:r>
        <w:rPr>
          <w:b/>
        </w:rPr>
        <w:t>E. 5.4</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 4 der Charta der Grundrechte der Europäischen Union (EU-Grundrechtecharta [GRC]; ABl. C 364/1 vom 18. Dezember 2000) mit sich bringen, ist zu prüfen, ob aufgrund dieser Kriterien ein an- derer Mitgliedstaat als zuständig bestimmt werden kann. Kann kein ande- rer Mitgliedstaat als zuständig bestimmt werden, wird der die Zuständigkeit prüfende Mitgliedstaat zum zuständigen Mitgliedstaat (Art. 3 Abs. 2 Sätze 2 und 3 Dublin-III-VO).</w:t>
      </w:r>
    </w:p>
    <w:p>
      <w:r>
        <w:rPr>
          <w:b/>
        </w:rPr>
        <w:t>E. 5.5</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(sog. Selbsteintrittsrecht; Art. 17 Abs. 1 Satz 1 Dublin-III- VO). Dieses sogenannte Selbsteintrittsrecht wird im Landesrecht durch Art. 29a Abs. 3 der Asylverordnung 1 über Verfahrensfragen vom 11. Au- gust 1999 (AsylV 1, SR 142.311) konkretisiert. Gemäss dieser Bestim- mung kann das SEM das Asylgesuch «aus humanitären Gründen» auch dann behandeln, wenn dafür gemäss Dublin-III-VO ein anderer Staat zu- ständig wäre. Liegen individuelle völkerrechtliche Überstellungshinder- nisse vor, ist der Selbsteintritt zwingend (vgl. BVGE 2015/9 E. 8.2.1).</w:t>
      </w:r>
    </w:p>
    <w:p>
      <w:r>
        <w:rPr>
          <w:b/>
        </w:rPr>
        <w:t>E. 6.1</w:t>
      </w:r>
    </w:p>
    <w:p>
      <w:r>
        <w:t>Der Abgleich der Fingerabdrücke des Beschwerdeführers ergab, dass er am 16. September 2023 in Kroatien ein Asylgesuch eingereicht hatte. Anlässlich des Dublin-Gesprächs bestätigte er, dass ihm in Kroatien die Fingerabdrücke abgenommen worden seien. Wie in der angefochtenen Verfügung zutreffend festgehalten wird, steht durch den Abgleich der Fin- gerabdrücke mit der Zentraleinheit Eurodac fest, dass er in Kroatien als asylsuchende Person registriert wurde. In der Beschwerde wird dies nicht bestritten.</w:t>
      </w:r>
    </w:p>
    <w:p>
      <w:r>
        <w:rPr>
          <w:b/>
        </w:rPr>
        <w:t>E. 6.2</w:t>
      </w:r>
    </w:p>
    <w:p>
      <w:r>
        <w:t>Die kroatischen Behörden stimmten dem Wiederaufnahmeersuchen des SEM vom 29. September 2023 bezüglich des Beschwerdeführers und seiner Kinder am 13. Oktober 2023 beziehungsweise 16. November 2023 gestützt auf Art. 20 Abs. 5 Dublin-III-VO verbindlich zu und wiesen gleich- zeitig darauf hin, dass das Verfahren zur Abklärung der Zuständigkeit noch</w:t>
      </w:r>
    </w:p>
    <w:p>
      <w:r>
        <w:t>D-6757/2023 Seite 8 im Gange sei. Die Zuständigkeit Kroatiens für das weitere Verfahren ist somit grundsätzlich gegeben.</w:t>
      </w:r>
    </w:p>
    <w:p>
      <w:r>
        <w:rPr>
          <w:b/>
        </w:rPr>
        <w:t>E. 7.1</w:t>
      </w:r>
    </w:p>
    <w:p>
      <w:r>
        <w:t>Das SEM führt zur Begründung seines Entscheides aus, die Abnahme der Fingerabdrücke in Kroatien finde ihre gesetzliche Regelung in der Ver- ordnung (EU) Nr. 603/2013 des Europäischen Parlaments und des Rates vom 26. Juni 2013 über die Einrichtung von Eurodac für den Abgleich von Fingerabdruckdaten. Zudem sei der Beschwerdeführer im Zusammenhang einer Asylgesuchstellung daktyloskopisch registriert worden. Die Bestim- mung des dafür zuständigen Staates obliege alleine den beteiligten Dublin- Vertragsstaaten. Die (von den kroatischen Behörden erlassene) Wegwei- sungsverfügung vermöge die Zuständigkeit Kroatiens zur Durchführung des Asyl- und Wegweisungsverfahrens nicht zu widerlegen. Es gebe keine wesentlichen Gründe für die Annahme gemäss Art. 3 Abs. 2 Dublin-III-VO, dass das Asylverfahren und die Aufnahmebedingungen für Asylsuchende in Kroatien Schwachstellen aufwiesen, die eine Gefahr einer unmenschli- chen oder entwürdigenden Behandlung im Sinne von Art. 4 der EU-Grund- rechtecharta und Art. 3 EMRK mit sich brächten. Der Beschwerdeführer sei von den kroatischen Behörden mit einem Asylgesuch daktyloskopisch er- fasst und damit offenbar angehalten worden, sich in das kroatische Asyl- system zu begeben. Sie hätten der Übernahme von ihm und seinen Kin- dern explizit zugestimmt, womit sie ihre Bereitschaft ausgedrückt hätten, ihr Asylgesuch zu behandeln. Zusammenfassend sei festzuhalten, dass trotz besorgniserregender Berichte aus dem kroatischen Grenzgebiet kein Grund zur Annahme bestehe, die kroatischen Behörden würden ihm den Zugang zum Asylverfahren unter Einhaltung der Regeln der Verfahrens- richtlinie verweigern respektive den Grundsatz des Non-Refoulement miss- achten. Zudem sei der Zugang zu wirksamen Rechtsmitteln gewährleistet. Der Beschwerdeführer habe keine konkreten Hinweise für die Annahme dargetan, Kroatien würde ihm dauerhaft die ihm gemäss Aufnahmerichtli- nie zustehenden minimalen Lebensbedingungen vorenthalten. Bei einer vorübergehenden Einschränkung sei er gehalten, sich an die kroatischen Behörden zu wenden, um die ihm zustehenden Ansprüche auf dem Rechtsweg einzufordern. Es lägen auch keine Gründe gemäss Art. 16 Abs. 1 Dublin-III-VO vor, die die Schweiz verpflichteten, das Asylgesuch zu prüfen, da er keine Verwandten in der Schweiz habe. Gemäss (internem) Verlaufsblatt der medizinischen Betreuung (Medic-Help) sei er in der Schweiz nie in medizinischer Behandlung gewesen. Seine Kinder seien zu einer medizinischen Kontrolle und wegen Impfungen beim Arzt gewesen. Sie hätten sich nie wegen psychischer Probleme bei Medic-Help gemeldet.</w:t>
      </w:r>
    </w:p>
    <w:p>
      <w:r>
        <w:t>D-6757/2023 Seite 9 Somit lägen keine Anhaltspunkte vor, dass er oder die Kinder psychische oder physische Probleme hätten und auf medizinische Behandlung ange- wiesen seien. Kroatien verfüge zudem über eine ausreichende medizini- sche Infrastruktur. Die Überstellung nach Kroatien begründe somit keinen Verstoss gegen Art. 3 EMRK und es bestehe keine Verpflichtung, die Sou- veränitätsklausel gemäss Art. 17 Abs. 1 Dublin-III-VO anzuwenden. Das Dublin-System beruhe auf dem Grundsatz, dass die Mitgliedstaaten die minimalen Aufnahmebedingungen für Asylsuchende umsetzten, an die sie rechtlich gebunden seien. Dublin-Rückkehrende erhielten in Kroatien grundsätzlich eine angemessene Unterkunft, sozialstaatliche Unterstüt- zung und eine Arbeitserlaubnis. Vulnerable Dublin-Rückkehrende wie bei- spielsweise Familien erhielten bei der Unterbringung, Betreuung, Schulung sowie Integration besondere Unterstützung. Demzufolge könne auf das Einholen individueller und konkreter Garantien von den kroatischen Behör- den verzichtet werden. Weder der Beschwerdeführer noch seine Kinder hätten psychische oder physische Probleme und sie hätten in der Schweiz keine Verwandten. Somit bestünden keine Gründe, welche die Anwendung der Souveränitätsklausel im Sinne von Art. 29a Abs. 3 AsylV 1 i.V.m. Art. 17 Abs. 1 Dublin-III-VO anzeigen würden. In Würdigung der Akten und der vom Beschwerdeführer geäusserten Umstände lägen keine Gründe vor, welche die Schweiz veranlassen müssten, die Souveränitätsklausel anzuwenden.</w:t>
      </w:r>
    </w:p>
    <w:p>
      <w:r>
        <w:rPr>
          <w:b/>
        </w:rPr>
        <w:t>E. 7.2</w:t>
      </w:r>
    </w:p>
    <w:p>
      <w:r>
        <w:t>In der Beschwerde wird geltend gemacht, gemäss Art. 3 des Überein- kommens über die Rechte des Kindes (Kinderrechtskonvention [KRK]; SR 0.107) sei die Schweiz verpflichtet, das Kindeswohl zu wahren. Zum einen müsse das Kindeswohl (bzw. «the best interest») bestimmt werden, zum anderen müsse eine Interessenabwägung zwischen dem Kindeswohl und anderen, entgegengesetzten Interessen stattfinden, wobei das Kin- deswohl eine vorrangige Rolle einzunehmen habe. Damit dies überprüft werden könne, müsse dieser Prozess transparent erfolgen. Bei der Bestim- mung des Kindeswohls könnten dabei die Meinung des Kindes, Fürsorge und Sicherheit, Vulnerabilität oder das Recht des Kindes auf Gesundheit eine Rolle spielen. Wenn bei der Interessenabwägung das Wohl des Kin- des hinter andere Interessen zurückzutreten habe, sei dies zu begründen. Da Kinder gemäss nationalem Recht zu den vulnerablen Dublin-Rückkeh- rern gehörten, werde diese Pflicht verstärkt. In der angefochtenen Verfü- gung fehlten Ausführungen zum Kindeswohl. Es sei nicht untersucht wor- den, worin «the best interest» liege, und es werde nicht begründet, wie es bei einer Wegweisung nach Kroatien gewahrt werde. Eine Wegweisung</w:t>
      </w:r>
    </w:p>
    <w:p>
      <w:r>
        <w:t>D-6757/2023 Seite 10 nach Kroatien könne nicht dem Kindeswohl entsprechen, weil die Kinder bereits bei der Durchreise gesehen hätten, wie andere Leute von der Poli- zei geschlagen worden seien, was auch deshalb schwerwiege, weil die po- lizeiliche Verfolgung und die damit einhergehende Gewalt gegen den Vater zu den Fluchtgründen gehörten. Während dem Aufenthalt in Kroatien seien die Kinder vom Vater getrennt worden. Neben dem Erlebten kämen noch allgemeine Gründe hinzu, die deutlich machten, dass eine Wegweisung nach Kroatien nicht dem Kindeswohl entsprechen könne. Aus einem Be- richt der Schweizerischen Flüchtlingshilfe (SFH) gehe hervor, dass der Zu- gang zu medizinischer Versorgung unzureichend sei und keine angemes- sene Infrastruktur für Familien zur Verfügung stehe. Mit der fehlenden Erwägung bezüglich des Kindeswohls lägen eine unrich- tige und unvollständige Ermittlung des Sachverhalts sowie eine Verletzung der Begründungspflicht vor.</w:t>
      </w:r>
    </w:p>
    <w:p>
      <w:r>
        <w:rPr>
          <w:b/>
        </w:rPr>
        <w:t>E. 8.1</w:t>
      </w:r>
    </w:p>
    <w:p>
      <w:r>
        <w:t>Gemäss der Ermessensklausel von Art. 17 Abs. 1 Dublin-III-VO (vgl. E. 5.5) kann jeder Mitgliedstaat abweichend von Art. 3 Abs. 1 Dublin-III-VO beschliessen, einen bei ihm von Drittstaatsangehörigen oder Staatenlosen gestellten Antrag auf internationalen Schutz zu prüfen, auch wenn er nach den in dieser Verordnung festgelegten Kriterien nicht für die Prüfung zu- ständig ist. Diese Bestimmung ist jedoch im Beschwerdeverfahren nicht direkt anwendbar und kann nur in Verbindung mit einer anderen Norm des nationalen oder internationalen Rechts angerufen werden (vgl. BVGE 2021 VI/1 E. 11. 2 und 2010/45 E. 5).</w:t>
      </w:r>
    </w:p>
    <w:p>
      <w:r>
        <w:rPr>
          <w:b/>
        </w:rPr>
        <w:t>E. 8.2</w:t>
      </w:r>
    </w:p>
    <w:p>
      <w:r>
        <w:t>Art. 17 Abs. 1 Dublin-III-VO wird im schweizerischen Recht durch Art. 29a Abs. 3 AsylV 1 umgesetzt und konkretisiert. Wie das Bundesver- waltungsgericht in BVGE 2015/9 festhielt, verfügt das SEM bezüglich der Anwendung der Souveränitätsklausel aus humanitären Gründen gestützt auf Art. 29a Abs. 3 AsylV 1 über einen Ermessenspielraum, der es ihm er- laubt zu ermitteln, ob humanitäre Gründe vorliegen, die einen Selbsteintritt der Schweiz rechtfertigen. Aufgrund der Kognitionsbeschränkung des Bun- desverwaltungsgerichts infolge der Aufhebung von Art. 106 Abs. 1 Bst. c AsylG muss dieses den genannten Ermessenspielraum des SEM respek- tieren. Das Bundesverwaltungsgericht kann und muss jedoch nach wie vor prüfen, ob das SEM sein Ermessen gesetzeskonform ausgeübt hat. Dies ist nur dann der Fall, wenn es – bei den von der gesuchstellenden Person geltend gemachten Umständen, die eine Überstellung aufgrund ihrer indi- viduellen Situation oder der Verhältnisse im zuständigen Staat problema-</w:t>
      </w:r>
    </w:p>
    <w:p>
      <w:r>
        <w:t>D-6757/2023 Seite 11 tisch erscheinen liessen – in nachvollziehbarer Weise prüft, ob die Anwen- dung der Souveränitätsklausel aus humanitären Gründen angezeigt ist. Dazu muss das SEM in seiner Verfügung darlegen, aus welchen Gründen es auf einen Selbsteintritt aus humanitären Gründen verzichtet. Tut es dies nicht, liegt eine Ermessensunterschreitung vor (vgl. BVGE 2015/9 E. 7 und 8).</w:t>
      </w:r>
    </w:p>
    <w:p>
      <w:r>
        <w:rPr>
          <w:b/>
        </w:rPr>
        <w:t>E. 8.3.1</w:t>
      </w:r>
    </w:p>
    <w:p>
      <w:r>
        <w:t>Nachfolgend ist zu prüfen, ob die in der Beschwerde erhobene Rüge, das SEM habe den Sachverhalt unrichtig und unvollständig abgeklärt und seine Begründungspflicht verletzt, berechtigt ist oder nicht.</w:t>
      </w:r>
    </w:p>
    <w:p>
      <w:r>
        <w:rPr>
          <w:b/>
        </w:rPr>
        <w:t>E. 8.3.2</w:t>
      </w:r>
    </w:p>
    <w:p>
      <w:r>
        <w:t>Sind von einem angeordneten Wegweisungsvollzug Kinder betroffen, bildet das Kindeswohl im Rahmen der Zumutbarkeitsprüfung einen Ge- sichtspunkt von vorrangiger Bedeutung. Dies ergibt sich nicht zuletzt aus einer völkerrechtskonformen Auslegung von Art. 83 Abs. 4 AIG im Licht von Art. 3 Abs. 1 KRK. Danach sind unter dem Aspekt des Kindeswohls sämt- liche Umstände einzubeziehen und zu würdigen, die im Hinblick auf einen Vollzug der Wegweisung wesentlich erscheinen (vgl. BVGE 2009/28 E. 9.3.2 und 2009/51 E. 5.6; Entscheidungen und Mitteilungen der Schwei- zerischen Asylrekurskommission [EMARK] 1998 Nr. 13 E. 5e/aa, 1998 Nr. 31 E. 8c/ff/ccc, 2005 Nr. 6 E. 6.2). Der Persönlichkeit des Kindes und seinen Lebensumständen ist umfassend Rechnung zu tragen. Bei einer gesamtheitlichen Beurteilung können namentlich folgende Kriterien von Bedeutung sein: Alter, Reife, Abhängigkeiten, Art (Nähe, Intensität, Tragfä- higkeit) seiner Beziehungen, Eigenschaften seiner Bezugspersonen (ins- besondere Unterstützungsbereitschaft und -fähigkeit), Stand und Prog- nose bezüglich Entwicklung/Ausbildung, sowie der Grad der erfolgten In- tegration bei einem längeren Aufenthalt in der Schweiz. Dabei ist aus ent- wicklungspsychologischer Sicht nicht nur das unmittelbare persönliche Umfeld des Kindes (d.h. dessen Kernfamilie) zu berücksichtigen, sondern auch dessen übrige soziale Einbettung. Im Rahmen der Zumutbarkeitsprü- fung ist zu berücksichtigten, dass das Kindeswohl nicht erst dann gefährdet ist, wenn das Kind in eine existenzielle Notlage gerät (vgl. BVGE 2014/26 E. 7.6 m.w.H.). Die dargelegten Grundsätze gelten sinngemäss auch im Rahmen der Prü- fung eines humanitär begründeten Selbsteintritts nach Art. 17 Abs. 1 Dub- lin-III-VO beziehungsweise Art. 29a Abs. 3 AsylV 1.</w:t>
      </w:r>
    </w:p>
    <w:p>
      <w:r>
        <w:t>D-6757/2023 Seite 12</w:t>
      </w:r>
    </w:p>
    <w:p>
      <w:r>
        <w:rPr>
          <w:b/>
        </w:rPr>
        <w:t>E. 8.3.3</w:t>
      </w:r>
    </w:p>
    <w:p>
      <w:r>
        <w:t>Der Beschwerdeführer hat im Rahmen des Dublin-Gesprächs vom 28. September 2023 darauf hingewiesen, dass seine Kinder in Kroatien keine Perspektiven hätten und aufgrund ihrer Erlebnisse während ihres kurzen Aufenthalts in diesem Land grosse Angst gehabt hätten und nicht dorthin zurückkehren wollten (vgl. dazu im Einzelnen Bst. A.d und SEM- Akte […]-17/4). Gleichwohl hat das SEM in der angefochtenen Verfügung weder die auch bei der Überstellung von Kindern im Rahmen eines Dublin- Verfahrens zu beachtenden Bestimmungen der KRK erwähnt noch hat es in ersichtlicher Weise geprüft, ob die Überstellung der beiden Kinder des Beschwerdeführers unter Beachtung des (ebenso nicht erwähnten) Kin- deswohls zumutbar ist.</w:t>
      </w:r>
    </w:p>
    <w:p>
      <w:r>
        <w:rPr>
          <w:b/>
        </w:rPr>
        <w:t>E. 8.3.4</w:t>
      </w:r>
    </w:p>
    <w:p>
      <w:r>
        <w:t>Gemäss Art. 29 Abs. 2 BV haben die Parteien Anspruch auf rechtli- ches Gehör. Dies umfasst als Mitwirkungsrecht alle Befugnisse, die einer Partei einzuräumen sind, damit sie in einem Verfahren ihren Standpunkt wirksam zur Geltung bringen kann (vgl. BGE 144 I 11 E. 5.3, 135 II 286 E. 5.1 sowie BVGE 2009/35 E. 6.4.1). Mit dem Gehörsanspruch korreliert die Pflicht der Behörden, die Vorbringen tatsächlich zu hören, ernsthaft zu prüfen und in ihrer Entscheidfindung angemessen zu berücksichtigen. Nicht erforderlich ist, dass sich die Begründung mit allen Parteistandpunk- ten einlässlich auseinandersetzt und jedes einzelne Vorbringen ausdrück- lich widerlegt (vgl. BGE 143 III 65 E. 5.2). Gleichzeitig gilt in allen Verfahren nach dem Asylgesetz – wie in anderen Verwaltungsverfahren – der Untersuchungsgrundsatz (Art. 6 AsylG i.V.m. Art. 12 VwVG), gemäss dem die entscheidende Behörde den Sachverhalt von sich aus abklären muss, was heisst, dass sie – vorbehaltlich der Mit- wirkungspflicht der gesuchstellenden Person (Art. 13 VwVG) – verantwort- lich für die Beschaffung der für den Entscheid notwendigen Unterlagen und das Abklären sämtlicher rechtsrelevanter Tatsachen ist (vgl. KRAUS- KOPF/WYSSLING, in: Praxiskommentar Verwaltungsverfahrensgesetz, 3. Aufl. 2023, Rz. 20 ff. zu Art. 12 VwVG; KÖLZ/HÄNER/BERTSCHI, Verwal- tungsverfahren und Verwaltungsrechtspflege des Bundes, 3. Aufl. 2013, Rz. 142). Das bedeutet, dass die Sachverhaltsfeststellung unvollständig ist, wenn nicht alle für den Entscheid rechtswesentlichen Sachumstände berücksichtigt werden (vgl. KÖLZ/HÄNER/BERTSCHI, a.a.O., Rz. 1043).</w:t>
      </w:r>
    </w:p>
    <w:p>
      <w:r>
        <w:rPr>
          <w:b/>
        </w:rPr>
        <w:t>E. 8.3.5</w:t>
      </w:r>
    </w:p>
    <w:p>
      <w:r>
        <w:t>Das SEM wäre mithin im Hinblick auf die Überstellung des Beschwer- deführers und seiner Kinder gehalten gewesen, den Gesichtspunkt des Kindeswohls abzuklären und diesen bei der Beurteilung, ob die Anwen- dung der Souveränitätsklausel aus humanitären Gründen angezeigt ist, zu</w:t>
      </w:r>
    </w:p>
    <w:p>
      <w:r>
        <w:t>D-6757/2023 Seite 13 berücksichtigen. Indem es in der angefochtenen Verfügung auf das Kin- deswohl nicht eingegangen ist, hat es den Sachverhalt nicht ausreichend abgeklärt und ist seiner Begründungspflicht nicht nachgekommen. Es hat damit nicht nur den Anspruch der Beschwerdeführenden auf rechtliches Gehör verletzt, sondern faktisch auch sein Ermessen in Bezug auf die An- wendung der Souveränitätsklausel aus humanitären Gründen nicht aus- geübt (vgl. betreffend Ermessensunterschreitung BVGE 2015/9 E. 61. m.w.H.).</w:t>
      </w:r>
    </w:p>
    <w:p>
      <w:r>
        <w:rPr>
          <w:b/>
        </w:rPr>
        <w:t>E. 9</w:t>
      </w:r>
    </w:p>
    <w:p>
      <w:r>
        <w:t>Eine Heilung der festgestellten verfahrensrechtlichen Unzulänglichkeiten im Rahmen des Beschwerdeverfahrens ist schon deshalb ausgeschlos- sen, weil das Gericht im Anwendungsbereich der hier relevanten Bestim- mung von Art. 29a Abs. 3 AsylV1 nicht über volle Kognition verfügt (vgl. hierzu etwa BVGE 2014/22 E. 5.8). Die Beschwerde ist deshalb gutzuheis- sen, die angefochtene Verfügung vom 27. November 2023 ist aufzuheben und die Sache ist zur neuen Entscheidung an das SEM zurückzuweisen. Dieses ist aufzufordern, Abklärungen hinsichtlich des Kindeswohls durch- zuführen und dieses im Rahmen einer Neubeurteilung zu berücksichtigen.</w:t>
      </w:r>
    </w:p>
    <w:p>
      <w:r>
        <w:rPr>
          <w:b/>
        </w:rPr>
        <w:t>E. 10</w:t>
      </w:r>
    </w:p>
    <w:p>
      <w:r>
        <w:t>Angesichts des direkten Entscheids in der Hauptsache werden die Anträge auf Gewährung der aufschiebenden Wirkung der Beschwerde und Verzicht auf die Erhebung eines Kostenvorschusses gegenstandslos.</w:t>
      </w:r>
    </w:p>
    <w:p>
      <w:r>
        <w:rPr>
          <w:b/>
        </w:rPr>
        <w:t>E. 11.1</w:t>
      </w:r>
    </w:p>
    <w:p>
      <w:r>
        <w:t>Bei diesem Ausgang des Verfahrens sind keine Kosten zu erheben (Art. 63 Abs. 1 und 2 VwVG), weshalb das Gesuch um Gewährung der un- entgeltlichen Prozessführung gegenstandslos wird.</w:t>
      </w:r>
    </w:p>
    <w:p>
      <w:r>
        <w:rPr>
          <w:b/>
        </w:rPr>
        <w:t>E. 11.2</w:t>
      </w:r>
    </w:p>
    <w:p>
      <w:r>
        <w:t>Den vertretenen Beschwerdeführenden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r>
        <w:t>D-6757/2023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