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D-6755/2023 vom 13. Dezember 2023</w:t>
      </w:r>
    </w:p>
    <w:p>
      <w:r>
        <w:t>Bundesverwaltungsgericht, 2023-12-13, DE</w:t>
      </w:r>
    </w:p>
    <w:p>
      <w:r>
        <w:rPr>
          <w:b/>
        </w:rPr>
        <w:t xml:space="preserve">Quelle: </w:t>
      </w:r>
      <w:r>
        <w:t>https://mcp.opencaselaw.ch/entscheid/bvger_D-6755_2023</w:t>
      </w:r>
    </w:p>
    <w:p>
      <w:r>
        <w:t>FR: TAF D-6755/2023 du 13 décembre 2023</w:t>
      </w:r>
    </w:p>
    <w:p>
      <w:r>
        <w:t>IT: TAF D-6755/2023 del 13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1.2</w:t>
      </w:r>
    </w:p>
    <w:p>
      <w:r>
        <w:t>Die Eingabe des Beschwerdeführers besteht in einer handschriftlich ergänzten Formularbeschwerde, deren Begründung zwar teilweise nicht in einer Amtssprache des Bundes, sondern in englischer Sprache verfasst ist. Die englische Begründung ist jedoch ohne weiteres verständlich, weshalb auf eine Rückweisung der Eingabe zwecks Übersetzung insbesondere aus prozessökonomischen Gründen zu verzichten ist.</w:t>
      </w:r>
    </w:p>
    <w:p>
      <w:r>
        <w:rPr>
          <w:b/>
        </w:rPr>
        <w:t>E. 1.3</w:t>
      </w:r>
    </w:p>
    <w:p>
      <w:r>
        <w:t>Somit genügt die fristgerechte Eingabe des Beschwerdeführers den formellen Anforderungen an eine Beschwerde im Wesentlichen (Art. 108 Abs. 3 AsylG, Art. 48 Abs. 1 und Art. 52 Abs. 1 VwVG), weshalb auf die Beschwerde einzutreten ist.</w:t>
      </w:r>
    </w:p>
    <w:p>
      <w:r>
        <w:rPr>
          <w:b/>
        </w:rPr>
        <w:t>E. 1.4</w:t>
      </w:r>
    </w:p>
    <w:p>
      <w:r>
        <w:t>Die Kognition des Bundesverwaltungsgerichts und die zulässigen Rügen richten sich im Asylbereich nach Art. 106 Abs. 1 AsylG (vgl. BVGE 2014/26 E. 5).</w:t>
      </w:r>
    </w:p>
    <w:p>
      <w:r>
        <w:rPr>
          <w:b/>
        </w:rPr>
        <w:t>E. 2</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ein Antragsteller ein gültiges Visum, so ist grundsätzlich derjenige Mitgliedstaat für die Prüfung des Antrags auf internationalen Schutz zuständig, der das Visum erteilt hat (Art. 12 Abs. 2 Dublin-III-VO). Der Beschwerdeführer suchte am 10. August 2023 in der Schweiz um Asyl nach, während das Visum Frankreichs noch bis zum 12. August 2023 gültig war (A7/1). Nachdem die französischen Behörden sich zum Übernahmeersuchen der Vorinstanz nicht fristgerecht haben vernehmen lassen, steht die grundsätzliche Zuständigkeit Frankreichs gemäss Art. 22 Abs. 7 Dublin-III-VO fest. Der Beschwerdeführer bestreitet das in Frankreich beantragte Visum nicht. Die Schweiz als Wunschreiseziel vermag nichts an der festgestellten grundsätzlichen Zuständigkeit Frankreichs zu ändern, räumt doch die Dublin-III-Verordnung den Schutzsuchenden kein Recht ein, den ihren Antrag prüfenden Staat selbst auszuwählen.</w:t>
      </w:r>
    </w:p>
    <w:p>
      <w:r>
        <w:rPr>
          <w:b/>
        </w:rPr>
        <w:t>E. 5.1</w:t>
      </w:r>
    </w:p>
    <w:p>
      <w:r>
        <w:t>Es ist im Lichte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 vom Beschwerdeführer zitierten - Artikels 4 der EU-Grundrechtecharta mit sich bringen. Erweist es sich aufgrund solcher systemischer Schwachstellen als unmöglich, einen Antragsteller an den zunächst als zuständig bestimmten Mitgliedstaat zu überstellen,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sowie des Übereinkommens zur Bekämpfung des Menschenhandels (ÜBM, SR 0.311.543)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6.1</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6.2</w:t>
      </w:r>
    </w:p>
    <w:p>
      <w:r>
        <w:t>Der Beschwerdeführer hat kein konkretes und ernsthaftes Risiko dargetan, die französischen Behörden würden sich weigern, ihn aufzunehmen und einen Antrag auf internationalen Schutz unter Einhaltung der Regeln der Verfahrensrichtlinie zu prüfen. Es sind den Akten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seine Überstellung nach Frankreich würde zu einer Verletzung von Art. 3 EMRK führen oder Frankreich würde ihm dauerhaft die ihnen gemäss Aufnahmerichtlinie zustehenden minimalen Lebensbedingungen vorenthalten. Bei einer allfälligen vorübergehenden Einschränkung ist er gehalten, sich an die französischen Behörden zu wenden und gegebenenfalls die ihm zustehenden Aufnahmebedingungen auf dem Rechtsweg einzufordern, zumal es sich bei Frankreich um einen funktionierenden Rechtsstaat handelt (vgl. Art. 26 Aufnahmerichtlinie). Die Sorgen vor Personen, die gegen ihn seien («there are many people who oppose me») und derentwegen eine Rückkehr nach Frankreich nicht möglich sei, vermögen an dieser Einschätzung nichts zu ändern. Überdies hat bereits die Vorinstanz zutreffend darauf hingewiesen, dass sich der Beschwerdeführer bei allfälligen Schwierigkeiten mit Drittpersonen (Furcht vor Übergriffen) an die französischen Behörden wenden kann.</w:t>
      </w:r>
    </w:p>
    <w:p>
      <w:r>
        <w:rPr>
          <w:b/>
        </w:rPr>
        <w:t>E. 6.3</w:t>
      </w:r>
    </w:p>
    <w:p>
      <w:r>
        <w:t>Des Weiteren liegen keine Anhaltspunkte vor, wonach die Gesundheit des Beschwerdeführers bei einer Überstellung nach Frankreich ernsthaft gefährdet würde. Gemäss dem Bericht des VISTA Augenzentrums Brugg vom 17. Oktober 2023 beziehungsweise den Akten besteht beim Beschwerdeführer ein zur Exzision empfohlenes Pterygium (gutartige Bindehautwucherung) ohne akuten Handlungsbedarf (A17/3, A20/1). Im Weiteren wurde der Beschwerdeführer beim Gesundheitsdienst des BAZ Brugg wegen Zahnfleischbluten, Hals- und Kopfschmerzen vorstellig und die Beschwerden wurden symptomatisch behandelt (A19/1). Diese geltend gemachten medizinischen Probleme erreichen nicht die in Übereinstimmung mit der Rechtsprechung des EGMR erforderliche Schwere, bei der die Schweiz zu einem Selbsteintritt verpflichtet wäre (vgl. Urteil des EGMR Paposhvili gegen Belgien vom 13. Dezember 2016, Grosse Kammer 41738/10, §§ 180-193 m.w.H.; Urteil des EGMR Savran gegen Danemark vom 7. Dezember 2021, req. no 57467/15, par. 129). Frankreich verfügt über eine ausreichende medizinische Infrastruktur und ist aufgrund der Aufnahmerichtlinie verpflichtet, dem Beschwerdeführer die erforderliche medizinische Behandlung (empfohlene Augenoperation), welche er dort einfordern kann, zukommen zu lassen. Seine Bitte, ihn noch etwas in der Schweiz weilen zu lassen, damit er die Operation hier vornehmen lassen kann («please let me stay here [for a while], i have my eye operation»), ist im Sinne des Gesagten unbehelflich.</w:t>
      </w:r>
    </w:p>
    <w:p>
      <w:r>
        <w:rPr>
          <w:b/>
        </w:rPr>
        <w:t>E. 6.4</w:t>
      </w:r>
    </w:p>
    <w:p>
      <w:r>
        <w:t>Im Übrigen sind der Eventual- und der Subeventualantrag unbegründet geblieben. Nebst dem bereits vorstehend zum Dublinstaat Frankreich sowie zum dortigen Zugang zu medizinischer Versorgung Gesagten ist mit der rechtsgenüglichen Sachverhaltsfeststellung sowie der zutreffenden und genügenden Auseinandersetzung der Vorinstanz mit der gesundheitlichen Situation des Beschwerdeführers festzuhalten (vi-Entscheid, Ziff. 2). Der Eventualantrag auf Rückweisung der Sache zur vollständigen Sachverhaltsfeststellung sowie der Subeventualantrag auf Einholung individueller Garantien (Zugang Asylverfahren, adäquate medizinische Versorgung und Unterbringung) sind demnach abzuweisen.</w:t>
      </w:r>
    </w:p>
    <w:p>
      <w:r>
        <w:rPr>
          <w:b/>
        </w:rPr>
        <w:t>E. 7</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rechtlichen Fehler bei der Ermessensbetätigung ersichtlich sind. Frankreich bleibt somit zuständiger Mitgliedstaat gemäss Dublin-III-VO und ist verpflichtet, den Beschwerdeführer aufzunehmen.</w:t>
      </w:r>
    </w:p>
    <w:p>
      <w:r>
        <w:rPr>
          <w:b/>
        </w:rPr>
        <w:t>E. 8</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Überstellung nach Frankreich angeordnet.</w:t>
      </w:r>
    </w:p>
    <w:p>
      <w:r>
        <w:rPr>
          <w:b/>
        </w:rPr>
        <w:t>E. 9</w:t>
      </w:r>
    </w:p>
    <w:p>
      <w:r>
        <w:t>Die angefochtene Verfügung verletzt demnach Bundesrecht nicht und ist auch sonst nicht zu beanstanden. Die Beschwerde ist abzuweisen und die Verfügung der Vorinstanz zu bestätigen.</w:t>
      </w:r>
    </w:p>
    <w:p>
      <w:r>
        <w:rPr>
          <w:b/>
        </w:rPr>
        <w:t>E. 10</w:t>
      </w:r>
    </w:p>
    <w:p>
      <w:r>
        <w:t>Das Beschwerdeverfahren ist mit vorliegendem Urteil abgeschlossen, weshalb sich die Anträge auf Anordnung eines Vollzugsstopps und auf Gewährung der aufschiebenden Wirkung als gegenstandslos erweisen.</w:t>
      </w:r>
    </w:p>
    <w:p>
      <w:r>
        <w:rPr>
          <w:b/>
        </w:rPr>
        <w:t>E. 11</w:t>
      </w:r>
    </w:p>
    <w:p>
      <w:r>
        <w:t>Die Gesuche um Gewährung der unentgeltlichen Prozessführung und um amtliche Rechtsverbeiständung sind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