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D-6747/2010 vom 23. Mai 2011</w:t>
      </w:r>
    </w:p>
    <w:p>
      <w:r>
        <w:t>Bundesverwaltungsgericht, 2011-05-23, DE</w:t>
      </w:r>
    </w:p>
    <w:p>
      <w:r>
        <w:rPr>
          <w:b/>
        </w:rPr>
        <w:t xml:space="preserve">Quelle: </w:t>
      </w:r>
      <w:r>
        <w:t>https://mcp.opencaselaw.ch/entscheid/bvger_D-6747_2010</w:t>
      </w:r>
    </w:p>
    <w:p>
      <w:r>
        <w:t>FR: TAF D-6747/2010 du 23 mai 2011</w:t>
      </w:r>
    </w:p>
    <w:p>
      <w:r>
        <w:t>IT: TAF D-6747/2010 del 23 maggio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[vormaligen] Schweizerischen Asylrekurskommission [EMARK] 2003 Nr. 11).</w:t>
      </w:r>
    </w:p>
    <w:p>
      <w:r>
        <w:rPr>
          <w:b/>
        </w:rPr>
        <w:t>E. 3.2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w:t>
      </w:r>
    </w:p>
    <w:p>
      <w:r>
        <w:rPr>
          <w:b/>
        </w:rPr>
        <w:t>E. 3.3</w:t>
      </w:r>
    </w:p>
    <w:p>
      <w:r>
        <w:t>Am 1. Januar 2007 trat der neue Allgemeine Teil des StGB (AT StGB) in Kraft (vgl. AS 2006 3459; BBI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BBl 1999 1979 ff., Kommentar zu Art. 10, S. 2000 f.).</w:t>
      </w:r>
    </w:p>
    <w:p>
      <w:r>
        <w:rPr>
          <w:b/>
        </w:rPr>
        <w:t>E. 3.4</w:t>
      </w:r>
    </w:p>
    <w:p>
      <w:r>
        <w:t>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4</w:t>
      </w:r>
    </w:p>
    <w:p>
      <w:r>
        <w:t>Der Beschwerdeführer rügt in formeller Hinsicht, die Vorinstanz habe die Begründungspflicht verletzt, indem sie in nur sechs Sätzen dargelegt habe, weshalb sie Art. 63 Abs. 2 AsylG für erfüllt erachte. Die Rüge greift indes aufgrund der nachfolgenden Erwägungen nicht.</w:t>
      </w:r>
    </w:p>
    <w:p>
      <w:r>
        <w:rPr>
          <w:b/>
        </w:rPr>
        <w:t>E. 4.1</w:t>
      </w:r>
    </w:p>
    <w:p>
      <w:r>
        <w:t>In Anwendung des Grundsatzes des rechtlichen Gehörs gemäss Art. 29 Abs. 2 der Bundesverfassung der Schweizerischen Eidgenossenschaft vom 18. April 1999 (BV, SR 101) hat die verfügende Behörde die Vorbringen der Partei tatsächlich zur Kenntnis zu nehmen und in der Entscheidfindung zu berücksichtigen sowie ihre Verfügung zu begründen. Die Begründung des Entscheids muss so abgefasst sein, dass der Betroffene ihn gegebenenfalls sachgerecht anfechten kann; die Behörde hat mithin wenigstens die Überlegungen kurz anzuführen, von denen sie sich leiten liess und auf welche sich ihr Entscheid stützt, wobei sie sich auf die wesentlichen Gesichtspunkte beschränken kann (vgl. LORENZ KNEUBÜHLER in: Kommentar zum Bundesgesetz über das Verwaltungsverfahren (VwVG), Auer/Müller/Schindler [Hrsg.], Zürich 2008, N. 6 ff. zu Art. 35; BVGE 2008/47 E. 3.2 S. 674 f., BVGE 2007/30 E. 5.6 S. 366 f.).</w:t>
      </w:r>
    </w:p>
    <w:p>
      <w:r>
        <w:rPr>
          <w:b/>
        </w:rPr>
        <w:t>E. 4.2</w:t>
      </w:r>
    </w:p>
    <w:p>
      <w:r>
        <w:t>Die vorliegend angefochtene Verfügung vom 20. August 2010 wird diesen Anforderungen gerecht. Das BFM hat sich mit der Straffälligkeit des Beschwerdeführers, der diesbezüglichen Gesetzeslage und den entsprechenden Vorbringen des Beschwerdeführers auseinandergesetzt und - wenn auch in knapper Form - begründet, weshalb die Voraussetzungen für einen Asylwiderruf nach Art. 63 Abs. 2 AsylG (vgl. vorstehend E. 3.1) aufgrund der strafrechtlichen Verurteilung des Beschwerdeführers erfüllt seien. Der Antrag des Beschwerdeführers um Rückweisung der Sache zur Neubeurteilung an die Vorinstanz ist deshalb abzuweisen.</w:t>
      </w:r>
    </w:p>
    <w:p>
      <w:r>
        <w:rPr>
          <w:b/>
        </w:rPr>
        <w:t>E. 5.1</w:t>
      </w:r>
    </w:p>
    <w:p>
      <w:r>
        <w:t>Der Beschwerdeführer hat Straftaten verübt, die verwerflich im Sinne von Art. 53 AsylG sind (vgl. E. 3.2. - 3.4.). Er wurde mit Urteil des Bezirksgerichts B._______ vom (...) unter anderem wegen mehrfachen Raubes gemäss Art. 140 Ziff. 1 Abs. 1 StGB, teilweise in bandenmässiger Begehung im Sinne von Art. 140 Ziff. 3 Abs. 2 StGB, verurteilt. Art. 140 Ziff. 1 Abs. 1 StGB sieht eine Freiheitsstrafe von bis zu zehn Jahren vor, wobei diese bei bandenmässigem Raub nicht unter zwei Jahren liegt (Art. 140 Ziff. 3 Abs. 2 StGB). Diese Delikte sind somit als "verwerflich" im Sinne von Art. 53 AsylG zu qualifizieren. Auch der durch den Beschwerdeführer mehrfach begangene betrügerische Missbrauch einer Datenverarbeitungsanlage gemäss Art. 147 Abs. 1 StGB ist als "verwerflich" im Sinne von Art. 53 AsylG zu erachten, liegt doch die entsprechende Strafandrohung bei einer Freiheitsstrafe bis zu fünf Jahren.</w:t>
      </w:r>
    </w:p>
    <w:p>
      <w:r>
        <w:rPr>
          <w:b/>
        </w:rPr>
        <w:t>E. 5.2</w:t>
      </w:r>
    </w:p>
    <w:p>
      <w:r>
        <w:t>Die betreffenden Straftaten sind weiter als "besonders" verwerflich im Sinne von Art. 63 Abs. 2 AsylG zu qualifizieren. Aus der dem Urteil des Bezirksgerichts B._______ vom (...) zugrunde liegenden Anklage der D._______ ergibt sich, dass der Beschwerdeführer in den Monaten (...) bis (...) wiederholt - insgesamt rund zwanzig Mal - Diebstähle in der qualifizierten Form des Raubes verübt hat. Indem er den Opfern ernstliche Nachteile (Schläge, Tod) androhte, ein Opfer massiv einschüchterte (...) und mehrheitlich in der noch zusätzlich qualifizierten Form der Bandenmässigkeit gemäss Art. 140 Ziff. 3 Abs. 2 StGB handelte, hat er bei der Begehung der Taten eine besondere Verwerflichkeit offenbart. Nebst der hohen Strafandrohung weisen diese Straftaten somit zweifelsfrei auch die von Art. 63 Abs. 2 AsylG geforderte gewisse Intensität auf. Dies trifft auch auf die mehrfach begangenen betrügerischen Missbräuche einer Datenverarbeitungsanlage im Sinne von Art. 147 Abs. 1 StGB zu, aufgrund derer sich der Beschwerdeführer mit namhaften Geldbeträgen in der Gesamthöhe von Fr. 15'000.- und Waren im Gesamtwert von knapp Fr. 2'900.- unrechtmässig bereichert hat. Die Einwände des Beschwerdeführers, er sei meist nur Mitläufer gewesen und die Straffälligkeit sei eher auf ein kulturelles Anpassungsproblem zurückzuführen, denn als bewusste Verletzung der schweizerischen Rechtsordnung zu sehen, vermögen an dieser Einschätzung nichts zu ändern. Der Beschwerdeführer wurde rechtskräftig verurteilt; seine Rolle und sein Vorsatz bei den Tatbegehungen wurden abschliessend und verbindlich beurteilt. Dem Bundesverwaltungsgericht obliegt es nicht, im Rahmen des vorliegenden Verfahrens betreffend Widerruf des Asyls die strafrechtliche Verurteilung zu hinterfragen.</w:t>
      </w:r>
    </w:p>
    <w:p>
      <w:r>
        <w:rPr>
          <w:b/>
        </w:rPr>
        <w:t>E. 5.3</w:t>
      </w:r>
    </w:p>
    <w:p>
      <w:r>
        <w:t>Schliesslich ist bei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w:t>
      </w:r>
    </w:p>
    <w:p>
      <w:r>
        <w:rPr>
          <w:b/>
        </w:rPr>
        <w:t>E. 5.3.1</w:t>
      </w:r>
    </w:p>
    <w:p>
      <w:r>
        <w:t>Der Beschwerdeführer machte in seiner Stellungnahme an das BFM vom 2. August 2010 und in der Rechtsmitteleingabe vom 17. September 2010 geltend, ein Asylwiderruf sei unverhältnismässig. Er sei für sein strafbares Verhalten bereits abschliessend sanktioniert worden. Die strafrechtliche Verurteilung sei ein einschneidendes Erlebnis gewesen und er habe daraus gelernt, wie auch die Berichte der kantonalen Bewährungs- und Vollzugsdienste zeigen würden. Der neue Status als vorläufig Aufgenommener würde erhebliche prekarisierende und diskriminierende Wirkungen haben. Die Massnahme des Asylwiderrufs habe damit einen pönalen Charakter, der nicht nur zu einer Doppelbestrafung führe, sondern auch dem Resozialisierungszweck von Art. 75 StGB widerspreche. Er möchte die Chance, die sich ihm mit der neuen Lehrstelle biete, nutzen. Eine Rückkehr in den Irak sei nicht denkbar. Diese Ausführungen sind indes nicht geeignet, an den vorstehenden Erwägungen hinsichtlich der Qualifikation der verübten Straftaten als besonders verwerflich im Sinne von Art. 63 Abs. 2 AsylG etwas zu ändern. Der Widerruf des Asyls führt nicht zu einer automatischen Aberkennung der Flüchtlingseigenschaft. Der Verlust des Asylstatus wirkt sich somit nicht unmittelbar nachteilig für den Beschwerdeführer aus. Er hat weiterhin ein Anwesenheitsrecht in der Schweiz und die Möglichkeit zu arbeiten. Als Flüchtling verfügt er nach wie vor über den Non-Refoulement-Schutz gemäss Art. 33 des Abkommens vom 28. Juli 1951 über die Rechtsstellung der Flüchtlinge (FK, SR 0.142.30) und ist zudem besser gestellt als andere vorläufig Aufgenommene. Dem öffentlichen Interesse an einem Asylwiderruf wegen der Verübung besonders verwerflicher Straftaten und damit der Bekämpfung und Prävention strafrechtlichen Verhaltens stehen demnach keine überwiegenden privaten Interessen des Beschwerdeführers gegenüber. Der Widerruf des Asyls erweist sich daher als verhältnismässig.</w:t>
      </w:r>
    </w:p>
    <w:p>
      <w:r>
        <w:rPr>
          <w:b/>
        </w:rPr>
        <w:t>E. 5.3.2</w:t>
      </w:r>
    </w:p>
    <w:p>
      <w:r>
        <w:t>Damit erübrigt es sich, auf die weiteren Ausführungen in der Rechtsmitteleingabe vom 17. September 2010 einzugehen, da sie am Ergebnis nichts zu ändern vermögen.</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wären dessen Kosten grundsätzlich dem Beschwerdeführer aufzuerlegen (Art. 63 Abs. 1 VwVG). Da die Beschwerde jedoch im Zeitpunkt ihrer Einreichung nicht als aussichtslos betrachtet werden konnte und die Bedürftigkeit des Beschwerdeführers belegt ist, sind in Gutheissung des Gesuchs um Gewährung der unentgeltlichen Prozessführung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