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D-6745/2016 vom 1. Dezember 2016</w:t>
      </w:r>
    </w:p>
    <w:p>
      <w:r>
        <w:t>Bundesverwaltungsgericht, 2016-12-01, DE</w:t>
      </w:r>
    </w:p>
    <w:p>
      <w:r>
        <w:rPr>
          <w:b/>
        </w:rPr>
        <w:t xml:space="preserve">Quelle: </w:t>
      </w:r>
      <w:r>
        <w:t>https://mcp.opencaselaw.ch/entscheid/bvger_D-6745_2016</w:t>
      </w:r>
    </w:p>
    <w:p>
      <w:r>
        <w:t>FR: TAF D-6745/2016 du 1 décembre 2016</w:t>
      </w:r>
    </w:p>
    <w:p>
      <w:r>
        <w:t>IT: TAF D-6745/2016 del 1 dicembre 2016</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w:t>
      </w:r>
    </w:p>
    <w:p>
      <w:r>
        <w:t>Der im Wiedererwägungsgesuch vom 18. Dezember 2014 gestellte Antrag auf Feststellung der Flüchtlingseigenschaft erstreckt sich auf die Tochter der Beschwerdeführerin, die am (...) geboren und in das Verfahren einbezogen wurde. Aufgrund der Aktenlage wurde auf Beschwerdeebene die Identität des angeblichen Kindesvaters, der die Flüchtlingseigenschaft hat, bekannt. Der Einbezug seines mutmasslichen Kindes in das Verfahren der Mutter genügt, gemäss Art. 51 Abs. 3 AsylG die Prüfung der Flüchtlingseigenschaft auszulösen (vgl. BVGer D-6855/2013 vom 1. September 2014 m.w.H.). Sind die Eltern eines in der Schweiz geborenen Kindes unverheiratet und ist ihnen ein Zusammenleben unmöglich, ist zu prüfen, ob die Voraussetzungen einer Familiengemeinschaft vorliegen. Mindestens nachzuweisen ist die wahrscheinliche biologische Abstammung von jenem Elternteil, der die originäre Flüchtlingseigenschaft besitzt, dessen Bemühen, für das Kind da zu sein, sowie auch der erkennbare Wille und das Bemühen der Mutter, das Kind mit beiden Eltern aufwachsen zu lassen, wobei das Kindeswohl zu berücksichtigen ist (vgl. Urteil D-3464/2015 vom 16. Juni 2016). Auch wenn sich vorliegend der angebliche Vater um die rechtliche Anerkennung seines Kindes bemüht, ist weder der Wille der Beschwerdeführerin erkennbar, die Tochter mit ihm gemeinsam zu erziehen, noch wurde die biologische Abstammung nachgewiesen, insbesondere hat die Beschwerdeführerin weder im Wiedererwägungsverfahren noch auf Beschwerdeebene einen solchen Willen erklärt oder den Nachweis der Vaterschaft in Aussicht gestellt. Wenn die Beschwerdeführerin beziehungsweise ihre Tochter entgegen der anders gelagerten Anzeichen den Einschluss in die Flüchtlingseigenschaft des angeblichen Kindesvaters dennoch wünschen sollten, kann dies mit einem begründeten Gesuch beim SEM geltend gemacht werden.</w:t>
      </w:r>
    </w:p>
    <w:p>
      <w:r>
        <w:rPr>
          <w:b/>
        </w:rPr>
        <w:t>E. 6</w:t>
      </w:r>
    </w:p>
    <w:p>
      <w:r>
        <w:t>Das SEM wies das Wiedererwägungsgesuch aufgrund von ungenügend substanziierten Revisionsgründen ab (Art. 66 Abs. 2 Bst. a VwVG). Wie im Wiedererwägungsgesuch machte die Beschwerdeführerin auch auf Beschwerdeebene geltend, durch zwei Schreiben neue erhebliche Beweismittel vorzulegen. Das Bundesverwaltungsgericht gelangt hingegen mit der Vorinstanz zum Schluss, dass den neu angerufenen Beweismitteln die Erheblichkeit im revisionsrechtlichen Sinne abzusprechen ist. Dieses Erfordernis verlangt, dass die neuen Beweismittel geeignet gewesen wären, zu einem anderen Entscheid führen zu können. Die Herstellung der vorgelegten Dokumente ist mit wenig Aufwand verbunden und sie haben zu geringen Beweiswert, um revisionsrechtlich relevant zu sein. Sie können nicht den Ansprüchen eines Identitätsausweises bzw. Identitätspapiers genügen (Art. 1a Bst. c AsylV 1) und zu keiner wiedererwägungsweisen Änderung der Einschätzung in Bezug auf die Unglaubhaftigkeit der Herkunftsangaben und der Gesuchsgründe der Beschwerdeführerin führen. Auch in Bezug auf die geltend gemachte Unmöglichkeit des Wegweisungsvollzugs liegt keine neue Sachlage vor. Die Beschwerdeführerin hat die Folgen der Verheimlichung ihrer tatsächlichen Herkunft zu tragen, wobei vermutungsweise davon auszugehen ist, es spreche nichts gegen eine Rückkehr an ihren tatsächlichen Herkunftsort. Die Vorinstanz hat das Wiedererwägungsgesuch zu Recht abgelehnt.</w:t>
      </w:r>
    </w:p>
    <w:p>
      <w:r>
        <w:rPr>
          <w:b/>
        </w:rPr>
        <w:t>E. 7</w:t>
      </w:r>
    </w:p>
    <w:p>
      <w:r>
        <w:t>Zusammenfassend ist festzuhalten, dass keine revisionsrechtlich relevanten Gründe gemäss Art. 66 Abs. 2 VwVG dargetan sind. Auch die weiteren in der Beschwerdebegründung enthaltenen Vorbringen sind revisionsrechtlich unerheblich. Es besteht auch kein Anlass, weitere Abklärungen in Bezug auf die Herkunft der Beschwerdeführerin durchzuführen. Den in materieller Hinsicht gestellten Anträgen, die Flüchtlingseigenschaft anzuerkennen und die vorläufige Aufnahme anzuordnen, eventualiter aufgrund der Unmöglichkeit des Wegweisungsvollzugs die vorläufige Aufnahme zu verfügen, kann mangels Wiedererwägungsgründen nicht entsprochen werden.</w:t>
      </w:r>
    </w:p>
    <w:p>
      <w:r>
        <w:rPr>
          <w:b/>
        </w:rPr>
        <w:t>E. 8</w:t>
      </w:r>
    </w:p>
    <w:p>
      <w:r>
        <w:t>Aus diesen Erwägungen ergibt sich, dass die angefochtene Verfügung Bundesrecht nicht verletzt und auch sonst nicht zu beanstanden ist. Die Beschwerde ist abzuweisen.</w:t>
      </w:r>
    </w:p>
    <w:p>
      <w:r>
        <w:rPr>
          <w:b/>
        </w:rPr>
        <w:t>E. 9</w:t>
      </w:r>
    </w:p>
    <w:p>
      <w:r>
        <w:t>Mit dem vorliegenden Entscheid in der Hauptsache werden die Gesuche um provisorische beziehungsweise superprovisorische Massnahmen gegenstandslos.</w:t>
      </w:r>
    </w:p>
    <w:p>
      <w:r>
        <w:rPr>
          <w:b/>
        </w:rPr>
        <w:t>E. 10</w:t>
      </w:r>
    </w:p>
    <w:p>
      <w:r>
        <w:t>Das Gesuch um unentgeltliche Prozessführung ist abzuweisen, da die Beschwerde als aussichtlos zu werten ist (Art. 65 Abs. 1 VwVG).</w:t>
      </w:r>
    </w:p>
    <w:p>
      <w:r>
        <w:rPr>
          <w:b/>
        </w:rPr>
        <w:t>E. 11</w:t>
      </w:r>
    </w:p>
    <w:p>
      <w:r>
        <w:t>Bei diesem Ausgang des Verfahrens sind die Kosten der Beschwerdeführerin aufzuerlegen (Art. 63 Abs. 1 VwVG) und auf insgesamt Fr. 1200.- festzusetzen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