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D-6741/2010 vom 2. Dezember 2010</w:t>
      </w:r>
    </w:p>
    <w:p>
      <w:r>
        <w:t>Bundesverwaltungsgericht, 2010-12-02, DE</w:t>
      </w:r>
    </w:p>
    <w:p>
      <w:r>
        <w:rPr>
          <w:b/>
        </w:rPr>
        <w:t xml:space="preserve">Quelle: </w:t>
      </w:r>
      <w:r>
        <w:t>https://mcp.opencaselaw.ch/entscheid/bvger_D-6741_2010</w:t>
      </w:r>
    </w:p>
    <w:p>
      <w:r>
        <w:t>FR: TAF D-6741/2010 du 2 décembre 2010</w:t>
      </w:r>
    </w:p>
    <w:p>
      <w:r>
        <w:t>IT: TAF D-6741/2010 del 2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somit - unter Vorbehalt der nachstehenden Ausführungen (E. 1.4) - einzutreten.</w:t>
      </w:r>
    </w:p>
    <w:p>
      <w:r>
        <w:rPr>
          <w:b/>
        </w:rPr>
        <w:t>E. 1.4</w:t>
      </w:r>
    </w:p>
    <w:p>
      <w:r>
        <w:t>Gemäss Art. 55 Abs. 1 VwVG kommt der Beschwerde aufschiebende Wirkung zu. Die Vorinstanz hat in der angefochtenen Verfügung einer allfälligen Beschwerde die aufschiebende Wirkung nicht entzogen, weshalb auf das Begehren der Beschwerdeführerin, es sei der Beschwerde die aufschiebende Wirkung zu erteilen, mangels Rechtsschutzinteresses nicht einzutreten ist (vgl. dazu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die Beschwerdeführerin den Inhalt sämtlicher Protokolle mit ihrer Unterschrift genehmigt hat und sich deshalb ihre Aussagen grundsätzlich entgegenhalten lassen muss.</w:t>
      </w:r>
    </w:p>
    <w:p>
      <w:r>
        <w:rPr>
          <w:b/>
        </w:rPr>
        <w:t>E. 5.2</w:t>
      </w:r>
    </w:p>
    <w:p>
      <w:r>
        <w:t>Nach Prüfung der Akten durch das Gericht ist festzustellen, dass die Vorbringen der Beschwerdeführerin den Anforderungen an die Glaubhaftigkeit gemäss Art. 7 AsylG nicht standzuhalten vermögen. So hat sie teilweise erheblich widersprüchliche Aussagen gemacht. Beispielsweise sagte sie bei der Kurzbefragung aus, ihr Exmann habe sie mit dem Tod bedroht, da er eine Liegenschaft erhalten möchte, die sie besitze (Akten BFM A 2/11, S. 5), dagegen machte sie anlässlich der Anhörung geltend, ihr Exmann habe alles versucht, um ihr ihre Wohnung wegzunehmen (Akten BFM A 8/23, S. 8). Als die Beschwerdeführerin bei der Anhörung auf diese widersprüchlichen Aussagen angesprochen wurde, gab sie zu Protokoll, sie habe nie von einer Liegenschaft gesprochen, sondern immer von ihrer Wohnung, zumal sie ja sonst nichts ausser dieser Wohnung habe (Akten BFM A 8/23, S. 10). Nicht übereinstimmend fielen auch die Aussagen der Beschwerdeführerin hinsichtlich des Zeitpunktes ihrer Verhaftung im Mai 2009 aus. So brachte sie anlässlich der Kurzbefragung vor, sie sei etwa eine Woche vor ihrer Ausreise (am 30. Mai 2009 [Anm. des Gerichts]) festgenommen worden (Akten BFM A 2/11, S. 6). Das heisst zirka am 23. Mai 2009 (Anm. des Gerichts). Demgegenüber machte sie bei der Anhörung geltend, die Festnahme sei am letzten Donnerstag im Monat Mai (am 28. Mai 2009 [Anm. des Gerichts]) erfolgt (Akten BFM A 8/23, S. 14). Unstimmig äusserte sich die Beschwerdeführerin auch hinsichtlich der Existenz eines Durchsuchungs-befehls bei der behaupteten Durchsuchung ihrer Wohnung durch die Polizei Ende Mai 2009. So führte sie anlässlich der Kurzbefragung aus, die Polizei sei mit einem Durchsuchungsbefehl vor ihrer Wohnung erschienen (Akten BFM A 2/11, S. 6), hingegen erwähnte sie bei der Anhörung das Vorhandensein eines Durchsuchungsbefehls mit keinem Wort, obwohl sie aufgefordert worden war, den Ablauf der Hausdurchsuchung zu beschreiben (Akten BFM A 8/23, S. 15). Sodann widersprach sich die Beschwerdeführerin bezüglich ihrer Scheidung von D._______. Anlässlich der Kurzbefragung gab sie nämlich zu Protokoll, sie habe sich wegen der vorhandenen Beziehungsprobleme von ihm scheiden lassen (Akten BFM A 2/11, S. 5), demgegenüber brachte sie bei der Anhörung vor, ihr Exmann habe die Scheidung beantragt (Akten BFM A 8/23, S. 16). Übereinstimmend mit der Vorinstanz ist zudem festzuhalten, dass die Schilderungen der Beschwerdeführerin bezüglich der angeblichen Haudurchsuchung im Mai 2009 respektive der geltend gemachten Flucht aus dem Spital unsubstanziiert und stereotyp ausgefallen sind (Akten BFM A 2/11, S. 6; A 8/23, S. 15), was den Schluss zulässt, diese hätten sich nicht wie behauptet zugetragen, ist doch davon auszugehen, dass die Beschwerdeführerin die Ereignisse ansonsten ausführlicher und mit mehr Realkennzeichen hätte schildern können. Der Einwand in der Beschwerde, wonach die rationale und emotionslose Darstellung der Ereignisse durch die Beschwerdeführerin zeige, wie schwer diese durch das Erlebte traumatisiert worden sei, ist lediglich als Schutzbehauptung zu werten, zumal die angebliche Trauma-tisierung der Beschwerdeführerin mit keinem ärztlichen Zeugnis belegt wird und daher unglaubhaft ist. Nicht geglaubt werden kann überdies die Behauptung der Beschwer-deführerin in der Anhörung, wonach D._______ auch knapp dreieinhalb Jahre nach der Scheidung noch immer einen Schlüssel zu ihrer Wohnung besessen habe, zumal sie es unterlassen habe, das Schloss ihrer Wohnungstür auswechseln zu lassen (Akten BFM A 8/23, S. 10). Es ist davon auszugehen, dass die Beschwerdeführerin mit Sicherheit das Schloss ihrer Wohnungstür hätte auswechseln lassen, hätten sich die geschilderten Ereignisse tatsächlich wie behauptet stattgefunden. Bezüglich des eingereichten Scheidungsurteils vom 12. Dezember 2005 ist zu bemerken, dass dieses Dokument die Verfolgungsvorbringen der Beschwerdeführerin nicht glaubhaft zu machen vermag, zumal es höchstens belegt, dass sie bis Ende 2005 mit D._______ verheiratet war. Hinsichtlich der von Privatpersonen (Verwandte/Arbeitgeber) zu den Akten gereichten Bestätigungsschreiben ist Folgendes festzuhalten: In Berücksichtigung einerseits, dass sich die Beschwer-deführerin in ihren Aussagen erheblich widersprochen hat und der Tatsache andererseits, dass Familienangehörige von Asylbewerbern oft Gefälligkeitsschreiben ausstellen, ist den Bestätigungen kein Be-weiswert zuzuerkennen. Bezeichnenderweise hat die Beschwerde-führerin den vom Arbeitgeber angeführten Vorfall denn auch nicht geltend gemacht. Aufgrund des soeben ausgeführten ist davon auszugehen, es handle sich bei den Verfolgungsvorbringen der Beschwerdeführerin um ein Sachverhaltskonstrukt, weshalb auch nicht geglaubt werden kann, dass sie bei einer Rückkehr in die Türkei von D._______ verfolgt und bedroht beziehungsweise von den türkischen Behörden (unschuldig) inhaftiert würde, wie das von ihr geltend gemacht wird. Da die von der Beschwerdeführerin zur Begründung ihres Asylgesuchs geltend gemachten Vorbringen den umschriebenen Anforderungen an die Glaubhaftmachung nicht genügen, kann darauf verzichtet werden, die Asylrelevanz dieser Vorbringen zu prüfen.</w:t>
      </w:r>
    </w:p>
    <w:p>
      <w:r>
        <w:rPr>
          <w:b/>
        </w:rPr>
        <w:t>E. 5.3</w:t>
      </w:r>
    </w:p>
    <w:p>
      <w:r>
        <w:t>Zusammenfassend ist festzustellen, dass es der Beschwerdeführerin nicht gelungen ist, nachzuweisen oder zumindest glaubhaft zu machen, dass sie in der Heimat ernsthafte Nachteile erlitten hat oder solche bei der Ausreise zu befürchten hatte beziehungsweise im Fall der Rückkehr in die Türkei befürchten müsste. Nach dem Gesagten erübrigt es sich, auf die weiteren Ausführungen und Einwände in der Beschwerde und die eingereichten Beweismittel im Einzelnen weiter einzugehen, da sie am Ergebnis nichts ändern. Das BFM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Vorab ist festzustellen, dass angesichts der heutigen Lage in der Türkei nicht von einer Situation allgemeiner Gewalt oder von krie-gerischen oder bürgerkriegsähnlichen Verhältnissen gesprochen wer-den kann, welche für die Beschwerdeführerin bei einer Rückkehr eine konkrete Gefährdung darstellen würde.</w:t>
      </w:r>
    </w:p>
    <w:p>
      <w:r>
        <w:rPr>
          <w:b/>
        </w:rPr>
        <w:t>E. 7.3.3</w:t>
      </w:r>
    </w:p>
    <w:p>
      <w:r>
        <w:t>Auch aufgrund der persönlichen Situation der Beschwerdeführerin sind keine Gründe ersichtlich, die gegen die Zumutbarkeit des Wegweisungsvollzugs sprechen. Die - soweit den Akten zu entnehmen ist - gesunde Beschwerdeführerin verfügt über eine sehr gute Ausbildung (Universitätsabschluss in Betriebswirtschaft) sowie jahrelange Berufserfahrung, weshalb anzunehmen ist, sie könne sich in ihrer Heimat wieder wirtschaftlich integrieren. Gemäss ihren Angaben leben überdies ihre Eltern, ihre Tochter sowie ihre Geschwister nach wie vor in der Türkei. Vor diesem Hintergrund ist davon auszugehen, dass die Beschwerdeführerin in ihrer Heimat über ein soziales Beziehungsnetz verfügt, welches ihr eine Reintegration erleichtern kann. Blosse soziale und wirtschaftliche Schwierigkeiten, von denen die ansässige Bevöl-kerung im Allgemeinen betroffen ist, genügen nicht, um eine konkrete Gefährdung im Sinne von Art. 83 Abs. 4 AuG darzustellen (vgl. die weiterhin zutreffende Praxis in Entscheidungen und Mitteilungen der Schweizerischen Asylrekurskommission [EMARK] 1996 Nr. 2 S. 12 f. und EMARK 2005 Nr. 24 E. 10.1 S. 215). Nach dem Gesagten ist der Vollzug der Wegweisung somit auch als zumutbar zu bezeichnen.</w:t>
      </w:r>
    </w:p>
    <w:p>
      <w:r>
        <w:rPr>
          <w:b/>
        </w:rPr>
        <w:t>E. 7.4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4. Oktober 2010 in derselben Höhe geleisteten Kostenovorschuss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