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D-6731/2012 vom 29. Januar 2013</w:t>
      </w:r>
    </w:p>
    <w:p>
      <w:r>
        <w:t>Bundesverwaltungsgericht, 2013-01-29, DE</w:t>
      </w:r>
    </w:p>
    <w:p>
      <w:r>
        <w:rPr>
          <w:b/>
        </w:rPr>
        <w:t xml:space="preserve">Quelle: </w:t>
      </w:r>
      <w:r>
        <w:t>https://mcp.opencaselaw.ch/entscheid/bvger_D-6731_2012</w:t>
      </w:r>
    </w:p>
    <w:p>
      <w:r>
        <w:t>FR: TAF D-6731/2012 du 29 janvier 2013</w:t>
      </w:r>
    </w:p>
    <w:p>
      <w:r>
        <w:t>IT: TAF D-6731/2012 del 29 gennaio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entschieden (Art. 111 Bst. e AsylG). Gestützt auf Art. 111a Abs. 1 AsylG wurde vorliegend auf die Durchfüh­rung eines Schriftenwechsels verzichtet.</w:t>
      </w:r>
    </w:p>
    <w:p>
      <w:r>
        <w:rPr>
          <w:b/>
        </w:rPr>
        <w:t>E. 4.1</w:t>
      </w:r>
    </w:p>
    <w:p>
      <w:r>
        <w:t>Vorab wurde in der Beschwerde in verfahrensrechtlicher Hinsicht beantragt, im Sinne einer vorsorglichen Massnahme seien die Vollzugsbehörden anzuweisen, die Weitergabe der Daten der Beschwerdeführenden an den Heimatstaat bis zum Entscheid über diese Beschwerde zu sistieren. Vor einer allfälligen Abweisung der Beschwerde sei die Vorinstanz anzuweisen, eine eventuell bereits erfolgte Datenweitergabe an ihren Heimatstaat offenzulegen und ihr dazu das rechtliche Gehör im Hinblick auf objektive Nachfluchtgründe zu gewäh­ren.</w:t>
      </w:r>
    </w:p>
    <w:p>
      <w:r>
        <w:rPr>
          <w:b/>
        </w:rPr>
        <w:t>E. 4.2</w:t>
      </w:r>
    </w:p>
    <w:p>
      <w:r>
        <w:t>Mit dem vorliegenden Entscheid ist das Gesuch, die Vollzugsbehör­den seien anzuweisen, die Kontaktaufnahme mit dem Heimatstaat der Beschwerdeführenden sowie jede Weitergabe von Daten an denselben sei bis zum Endentscheid über die Beschwerde zu unterlassen, gegens­tandslos geworden. Im Übrigen werden Personendaten von Asylsuchen­den, anerkannte Flüchtlingen und Schutzbedürftigen dem Heimat- oder Herkunftsstaat nicht bekannt gegeben, wenn dadurch die betroffene Per­son oder ihre Angehörigen gefährdet würden. Zudem dürfen über ein Asylgesuch keine Angaben gemacht werden (vgl. Art. 97 Abs. 1 AsylG). Aus den Akten ergeben sich diesbezüglich keine Hinweise.</w:t>
      </w:r>
    </w:p>
    <w:p>
      <w:r>
        <w:rPr>
          <w:b/>
        </w:rPr>
        <w:t>E. 5.1</w:t>
      </w:r>
    </w:p>
    <w:p>
      <w:r>
        <w:t>Nach Prüfung der Akten durch das Gericht ist - in Übereinstimmung mit der Vorinstanz - festzuhalten, dass diese mit Unglaubhaftigkeitselementen behaftet sind. Zur Vermeidung von Wiederholungen wird auf die Begründung in der angefochtenen Verfügung verwiesen. Im Weiteren ist dabei auf die Unstimmigkeiten im Zusammenhang mit dem geltend gemachten Verlust der Identitätskarte des Beschwerdeführers hinzuweisen. Seinen Angaben bei der Kurzbefragung zufolge, will der Beschwerdeführer seine Identitätskarte in Colombo verloren haben (vgl. A1/12 S. 6). Demgegenüber gab er bei der Anhörung zu Protokoll, er habe seine Identitätskarte und seinen Führerschein in seinem Van verloren (vgl. A12/15 S. 4 F. 19); seinen Führerschein habe er erneut beantragt und auch erhalten, nicht aber seine Identitätskarte (vgl.a.a.O.). Den Verlust habe er erst zu Hause bemerkt, als er sein Hemd im Wohnzimmer aufgehängt und er seinen Führerschein in der Hemdentasche nicht gefunden habe. Auf den entsprechenden Vorhalt hin erklärte er, er habe seine Identitätskarte verloren, bevor er sich nach Colombo begeben habe, er habe das verwechselt (vgl. A12/15 S. 4 F. 26) und bekräftige im weiteren Verlauf der Anhörung, er habe seine Identitätskarte in Jaffna verloren und sei ohne sie nach Colombo gegangen, er glaube, er habe das bei der Kurzbefragung falsch gesagt (vgl. A12/15 S. 4 F. 28). Diesbezüglich ist aber festzuhalten, dass die Beschwerdeführenden den Wortlaut sämtli­cher Protokolle mit ihrer Unterschrift bestätigt haben und sich deshalb ihre Aussagen entgegenhalten lassen müssen, zumal sie die übersetzen­den Personen anlässlich der Befragungen gut verstanden haben wollen (A 1/12 S. 10; A 2/12 S. 10; A12/15 S. 14; A13/9 S. 8). Im Weiteren sind die Vorbringen der Beschwerdeführerin von eklatantem Nichtwissen gekennzeichnet. So konnte sie weder angeben, wann und wie oft das Militär sie und ihren Ehemann nach der Ermordung des Kollegen ihres Mannes gesucht haben soll (vgl. A13/9 S. 5 F. 33 f.), noch konnte sie ir­gendwelche Angaben darüber machen, wie der Beschwerdeführer den Kontakt mit dem Schlepper geknüpft habe (vgl. A13/9 S. 5 F. 36), und tippte auf eine zufällige Begegnung. Darüber hinaus konnte sie, obwohl sie über ein Jahr im Haus des Schleppers gewohnt und dieses nie verlas­sen haben will (vgl. A13/9 S. 6 F. 44), weder dessen ungefähre Lage noch die nähere Umgebung beschreiben. Sie war auch nicht annähernd in der Lage, die Innenräume des Hauses zu beschreiben (vgl. A13/9 S. 6 F. 48 ff.). Nach einem so langen Aufenthalt in geschlossenen Räumen wäre je­doch zu erwarten gewesen, dass die Beschwerdeführerin in der Lage gewesen wäre, spontan und aus freien Stücken die Innenausstattung des Hauses, die Raumaufteilung und ähnliches detailliert zu beschreiben. Auch müssten ihre Schilderungen Besonderheiten des Hauses enthalten (wie beispielsweise die dort vorherrschenden Gerüche, knarrenden Tü­ren, klemmende Schubladen, Lärm von der Strasse oder schattenspen­dende Bäume, Aussehen der Mitbewohner oder allenfalls deren Eigenhei­ten), die nur einem Bewohner beziehungsweise Besucher des Hauses bekannt sind. Zudem war auch der Beschwerdeführer nicht in der Lage, detaillierten Angaben über die Immobilie und deren Bewohner zu ma­chen. Er konnte weder die Frage, wie viele und welche Personen dort ge­lebt haben (vgl. A12/15 S. 9 F. 81 - 87) beantworten, noch wusste er, in welchem Verhältnis die dort lebenden Personen zu dem Schlepper gestanden haben. Den Schlepper will er über einen Bekannten kennengelernt haben (vgl. A12/15 S. 9 F. 76); die erste Begegnung soll ausserhalb der Lodge stattgefunden haben (vgl. a.a.O F. 78 f.). Auf den Vorhalt des Befragers, wonach die Beschwerdeführerin von einer zufälli­gen Begegnung in der Lodge gesprochen habe, reagierte er eher ungehalten und meinte seine Ehefrau habe keine Ahnung davon, wie er diesen Schlepper kennengelernt habe (vgl. a.a.O F. 80), was das Gericht nicht zu überzeugen vermag und als Schutzbehauptung zu werten ist.</w:t>
      </w:r>
    </w:p>
    <w:p>
      <w:r>
        <w:rPr>
          <w:b/>
        </w:rPr>
        <w:t>E. 5.2</w:t>
      </w:r>
    </w:p>
    <w:p>
      <w:r>
        <w:t>Zusammenfassend ist somit festzustellen, dass es den Be­schwerdeführenden nicht gelungen ist, nachzuweisen oder glaubhaft zu machen, dass sie in der Heimat ernsthafte Nachteile gemäss Art. 3 AsylG erlitten haben oder solche bei der Ausreise zu befürchten hattenn oder im Falle einer Rückkehr nach Sri Lanka befürchten müsste. Sie erfüllen so­mit die Voraussetzungen zur Zuerkennung der Flüchtlingseigenschaft nicht, weshalb die Vorinstanz ihre Asylbegehren zu Recht abgelehnt hat. Es erübrigt sich deshalb, auf die weiteren Vorbringen in der Rechtsmitteleingabe im Einzelnen weiter einzugehen, da sie an obiger Erkenntnis nichts zu ändern vermögen.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(vgl. BVGE 2009/50 E. 9 S. 733 m.H.a.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Menschrechte und Grundfreiheiten (EMRK, SR 0.101) darf niemand der Folter oder unmenschlicher oder erniedrigender Strafe oder Behandlung unterworfen werden.</w:t>
      </w:r>
    </w:p>
    <w:p>
      <w:r>
        <w:rPr>
          <w:b/>
        </w:rPr>
        <w:t>E. 7.3</w:t>
      </w:r>
    </w:p>
    <w:p>
      <w:r>
        <w:t>Die Vorinstanz wies in der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Sri Lanka ist demnach unter dem Aspekt von Art. 5 AsylG rechtmässig.</w:t>
      </w:r>
    </w:p>
    <w:p>
      <w:r>
        <w:rPr>
          <w:b/>
        </w:rPr>
        <w:t>E. 7.4</w:t>
      </w:r>
    </w:p>
    <w:p>
      <w:r>
        <w:t>Sodann ergeben sich weder aus den Aussagen der Beschwerdeführenden noch aus den Akten Anhaltspunkte dafür, dass sie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Der EGMR hat sich mit der Gefährdungssituation im Hinblick auf eine EMRK widrige Behandlung namentlich für Tamilen, die aus einem europäischen Land nach Sri Lanka zurückkehren müssen, wiederholt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Der Gerichtshof unterstreicht, dass nicht in genereller Weise davon auszugehen sei, zurückkehrenden Tamilen drohe eine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Nachdem die Beschwerdeführenden nicht glaubhaft gemacht haben, dass sie befürchten müssen, bei einer Rückkehr ins Heimatland die Aufmerksamkeit der sri-lankischen Behör­den in einem flüchtlingsrechtlich relevanten Ausmass auf sich zu ziehen, bestehen auch keine Anhaltspunkte dafür, ihnen würde aus demselben Grund eine menschenrechtswidrige Behandlung im Heimatland drohen. Auch die allgemeine Menschenrechtssituation in Sri Lanka lässt den Wegweisungsvollzug zum heutigen Zeitpunkt nicht als unzulässig erscheinen (vgl. BVGE 2011/24 E. 10.4.2). An dieser Einschätzung än­dern auch die diesbezüglichen Vorbringen der Beschwerdeführenden in der Beschwerdeschrift sowie die dort zitierten Berichte nichts, weshalb es sich erübrigt, weiter darauf einzugehen. Nach dem Gesagten ist der Voll­zug der Wegweisung sowohl im Sinne der asyl- als auch der völkerrechtli­chen Bestimmungen zulässig.</w:t>
      </w:r>
    </w:p>
    <w:p>
      <w:r>
        <w:rPr>
          <w:b/>
        </w:rPr>
        <w:t>E. 7.5.1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7.5.2</w:t>
      </w:r>
    </w:p>
    <w:p>
      <w:r>
        <w:t>Gemäss allgemein zugänglichen Quellen ist heute im Heimatstaat der Beschwerdeführenden von einer seit Ende des bewaffneten Konflikts zwischen der sri-Lankischen Armee und den LTTE im Mai 2009 erheblich verbesserten Menschenrechts- und Sicherheitslage auszugehen, auch wenn sich das Land noch in einem Entwicklungsprozess befindet (vgl. BVGE 2011/24 E. 12 S. 509).</w:t>
      </w:r>
    </w:p>
    <w:p>
      <w:r>
        <w:rPr>
          <w:b/>
        </w:rPr>
        <w:t>E. 7.5.3</w:t>
      </w:r>
    </w:p>
    <w:p>
      <w:r>
        <w:t>Im Distrikt Jaffna und in den südlichen Teilen der Distrikte Vavuniya und Mannar herrscht keine Situation allgemeiner Gewalt und die dortige politische Lage ist nicht dermassen angespannt, dass eine Rückkehr dorthin als generell unzumutbar eingestuft werden müsste (vgl. BVGE 2011/24 E. 13.2.1 S. 510).</w:t>
      </w:r>
    </w:p>
    <w:p>
      <w:r>
        <w:rPr>
          <w:b/>
        </w:rPr>
        <w:t>E. 7.6</w:t>
      </w:r>
    </w:p>
    <w:p>
      <w:r>
        <w:t>Gestützt auf diese Beurteilung der allgemeinen, heute herrschenden Sicherheits- und politischen Lage in Sri Lanka sowie nach Prüfung der Akten kommt das Bundesverwaltungsgericht in Übereinstimmung mit dem BFM zum Schluss, dass der Wegweisungsvollzug der Beschwerdeführenden im heutigen Zeitpunkt zumutbar ist. Gemäss den Akten wohnte die Beschwerdeführerin mit einem Unterbruch (von 1995/1996 bis 1998 lebte sie in Kilinochchi) seit ihrer Geburt bis im Jahr 2007 in E._______ (in der Nähe von Jaffna, ausserhalb des Vanni-Gebietes), danach liess sie sich in Colombo nieder (vgl. A2/12 S. 2). Der Beschwerdeführer hielt sich mit Unterbrüchen (er arbeitete von 1984 bis 1987 im Irak und danach mehrere Jahre in Saudi-Arabien) von 1970 bis 2007 auch in E._______ auf. Zuvor lebte er in D._______ (ausserhalb des Vanni-Gebietes) (vgl. A1/12 S. 2 f.). Anlässlich der Kurzbefragungen ga­ben die Beschwerdeführenden übereinstimmend zu Protokoll, dass drei ihrer Kinder nach wie vor in E._______ wohnen (A 1/12 S. 4 f.; A2/12 S. 4), sowie zwei verheiratete Schwestern der Beschwerdeführerin (vgl. A2/12 S. 4). Es liegen keine aktuelleren Erkenntnisse vor, die zur Annahme füh­ren könnten, dass sie sich heute nicht mehr dort aufhalten würden. Unter diesen Umständen ist davon auszugehen, dass die Beschwerdeführen­den in E._______ über ein tragfähiges soziales Netz verfügen. Darüber hinaus wollen sich die Beschwerdeführenden von April 2007 bis zu ihrer Ausreise mit einem Unterbruch (Besuch ihrer in der Schweiz lebenden Tochter von Juli bis Oktober) in Colombo aufgehalten haben (vgl. A1/12 S. 2; A2/12 S. 2). Der Beschwerdeführer gab ferner an, er habe während seiner Tätigkeit als Chauffeur bei einem öffentlichen Transportunternehmen [...] an verschiedenen Orten in Sri Lanka gearbeitet (vgl. A1/12 S. 2 f.).Die Flexibilität des Beschwerdeführers, an verschiedenen Orten in Sri Lanka, aber auch im Ausland arbeiten zu können, die Ortswechsel der Beschwerdeführenden innerhalb Sri Lankas sowie ihre Bereitschaft in die Schweiz zu reisen, um ihre dort lebende Tochter zu besuchen beziehungsweise, um Asylgesuche zu stellen, lassen auf deren Fähigkeit schliessen, sich an veränderte Verhältnisse anzupassen. Der Beschwerdeführer fand für sich und seine Familie als Chauffeur im In- und Ausland ein Auskommen (vgl. A1/12 S. 2 f.). Folglich wird er in der Lage sein, sich in der Heimat wirtschaftlich wieder zu integrieren. Bei der Reintegration werden die Beschwerdeführenden im Bedarfsfall auf die (finanzielle) Unterstützung ihrer nahen Verwandten zählen können, die in Sri Lanka, in der Schweiz, in Deutschland und in Kanada leben. In diesem Zusammenhang ist insbesondere auf die finanzielle Unterstützung ihrer Kinder hinzuweisen, welche ihnen auch Geld gegeben haben, um den Schlepper bezahlen zu können (vgl. A13/9 S. 7 F. 60). Die Rückkehrhilfe der Schweiz wird ihnen den Wiedereinstieg in Sri Lanka ebenfalls erleichtern (vgl. Art. 62 ff. der Asylverordnung 2 über Finanzierungsfragen vom 11. August 1999 [AsylV 2, SR 142.312). Schliesslich ist darauf hinzuweisen, dass bloss soziale und wirtschaftliche Schwierigkeiten, von denen die ansässige Bevölkerung im Allgemeinen betroffen ist, nicht genügen, um eine konkrete Gefährdung im Sinne von Art. 83 Abs. 4 AuG darzustellen (vgl. BVGE 2008/34 E. 11.2.2). Somit ist nicht anzunehmen, dass sie bei einer Rückkehr in ihren Heimatstaat in eine existenzielle Notlage geraten werden. Der Vollzug der Wegweisung erweist sich damit sowohl in genereller als auch in individueller Hinsicht als zumutbar.</w:t>
      </w:r>
    </w:p>
    <w:p>
      <w:r>
        <w:rPr>
          <w:b/>
        </w:rPr>
        <w:t>E. 7.7</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7.8</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Das Gesuch um Gewährung der unentgeltlichen Rechtspflege gemäss Art. 65 Abs. 1 VwVG ist abzuweisen, da die Beschwerde aufgrund der vorstehenden Erwägungen als aussichtslos erscheint. Das Gesuch um Verzicht auf die Erhebung eines Kostenvorschusses ist angesichts des Entscheides in der Hauptsache gegenstandslos geworden.</w:t>
      </w:r>
    </w:p>
    <w:p>
      <w:r>
        <w:rPr>
          <w:b/>
        </w:rPr>
        <w:t>E. 10</w:t>
      </w:r>
    </w:p>
    <w:p>
      <w:r>
        <w:t>Bei diesem Ausgang des Verfahrens sind die Kosten den Beschwerdeführenden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