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D-6705/2012 vom 18. März 2013</w:t>
      </w:r>
    </w:p>
    <w:p>
      <w:r>
        <w:t>Bundesverwaltungsgericht, 2013-03-18, DE</w:t>
      </w:r>
    </w:p>
    <w:p>
      <w:r>
        <w:rPr>
          <w:b/>
        </w:rPr>
        <w:t xml:space="preserve">Quelle: </w:t>
      </w:r>
      <w:r>
        <w:t>https://mcp.opencaselaw.ch/entscheid/bvger_D-6705_2012</w:t>
      </w:r>
    </w:p>
    <w:p>
      <w:r>
        <w:t>FR: TAF D-6705/2012 du 18 mars 2013</w:t>
      </w:r>
    </w:p>
    <w:p>
      <w:r>
        <w:t>IT: TAF D-6705/2012 del 18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vorliegenden Fall ist der Sachverhalt in entscheidreifer Weise erstellt, so dass der Eventualantrag auf Rückweisung der Sache an die Vorinstanz zur ergänzenden Sachverhaltsabklärung und Neubeurteilung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kurdischer Volkszugehörigkeit sei und aus X._______ stamme. Er arbeite als Coiffeur und studiere Kunst. Eines seiner Kunstwerke an der Universität, das von anderen Studenten als anstössig empfunden worden sei, sei deswegen von diesen zerstört worden. Überdies sei er Keyboarder einer Alternativ-Metal-Gruppe namens B._______. Als Mitglied dieser Musikgruppe werde er als Teufelsanbeter und Homosexueller angesehen. Eines Tages sei der Schlagzeuger seiner Band entführt worden. (Im) September 2012 hätten ihn die Entführer angerufen und dazu aufgefordert, innerhalb von drei Tagen USD 100'000 Lösegeld zu beschaffen und persönlich nach Y._______ zu bringen, ansonsten das Bandmitglied getötet werde. Die Entführer hätten ihn davor gewarnt, die Polizei einzuschalten und ihm mitgeteilt, dass sie über Leute bei den Sicherheitsbehörden verfügen würden.</w:t>
      </w:r>
    </w:p>
    <w:p>
      <w:r>
        <w:rPr>
          <w:b/>
        </w:rPr>
        <w:t>E. 5.2</w:t>
      </w:r>
    </w:p>
    <w:p>
      <w:r>
        <w:t>Die Vorinstanz begründete ihren ablehnenden Entscheid damit, dass die Vorbringen des Beschwerdeführers nicht glaubhaft seien. Die Schilderung des Erpressungsanrufs sei oberflächlich ausgefallen und beschränke sich darauf, dass der Anrufer Sorani gesprochen habe. Es wäre zudem zu erwarten gewesen, dass der Beschwerdeführer Kontakt mit der Familie des Entführten aufgenommen oder auf andere Weise versucht hätte, Informationen über den Hintergrund der Entführung zu erfahren. Er habe jedoch zu Protokoll gegeben, lediglich versucht zu haben, einen Freund telefonisch zu erreichen. In der BzP habe er angegeben, nicht zur Polizei gegangen zu sein, da sein Freund ihm davon abgeraten habe. In der Anhörung habe er diesen Aspekt dahingehend ergänzt, dass er vom Erpresser davor gewarnt worden sei, die Polizei einzuschalten. Dieses Desinteresse am Schicksal des Freundes und die nachgeschobene Aussage würden weitere Zweifel am Wahrheitsgehalt des Vorbringens aufkommen lassen. Verstärkt würden diese Zweifel durch die vagen Aussagen in Bezug auf die geltend gemachte persönliche Verfolgung. In der BzP habe er ausgeführt, dass die Entführer wohl auch ihn fassen wollen würden. In der Anhörung habe er angefügt, er sei sicher, dass die Entführer auch ihn suchen würden, habe jedoch keine Hinweise dafür nennen können. Die Rockband des Beschwerdeführers sei in den letzten zwei Jahren lediglich zweimal aufgetreten, so dass nicht angenommen werden könne, dass die Band von bestimmten Gruppen als Bedrohung der Gesellschaft wahrgenommen werde. Aufgrund der detailarmen und oberflächlichen Schilderung sowie des Mangels an konkreten Hinweisen auf eine Verfolgung sei es dem Beschwerdeführer nicht gelungen, eine asylrelevante Verfolgung glaubhaft zu machen.</w:t>
      </w:r>
    </w:p>
    <w:p>
      <w:r>
        <w:rPr>
          <w:b/>
        </w:rPr>
        <w:t>E. 5.3</w:t>
      </w:r>
    </w:p>
    <w:p>
      <w:r>
        <w:t>Diesen Erwägungen wurde in der Beschwerdeschrift entgegengehalten, dass der Beschwerdeführer als Coiffeur, Kunststudent und Rockmusiker, verbunden mit den aus der Heavy-Metal-Musik stammenden ästhetischen Attributen in Kleidung und Accessoires, einen gegenüber der muslimischen Tradition rebellischen Lebensstil verkörpere. Im Frühling 2012 habe im Irak ein richtiggehendes Kesseltreiben gegen junge Leute mit ähnlichem Lebensstil begonnen. In Bagdad sei eine grössere Anzahl Jugendlicher, welche der Bewegung der Emos und somit einer vergleichbaren westlichen Jugendkultur angehört hätten, von religiös-fanatischen Milizen brutal ermordet worden, da diese Jugendlichen in deren Augen Teufelsanbeter und Homosexuelle darstellen würden. So sei auch der Beschwerdeführer ins Visier moralischer Eiferer geraten.</w:t>
      </w:r>
    </w:p>
    <w:p>
      <w:r>
        <w:rPr>
          <w:b/>
        </w:rPr>
        <w:t>E. 5.4</w:t>
      </w:r>
    </w:p>
    <w:p>
      <w:r>
        <w:t>In der Vernehmlassung vom 4. Februar 2013 führte das BFM in Ergänzung zu seinen bisherigen Erwägungen aus, dass die auf Beschwerdeebene eingereichten Beweismittel keine Hinweise auf eine gezielte Verfolgung des Beschwerdeführers enthalten würden. Des Weiteren würden sich diese Beweismittel auf die Gefährdung von Emos und Homosexuellen beziehen. Der Beschwerdeführer sei aber weder homosexuell noch ein Emo, sondern ein Rockmusiker. Schliesslich sei im Nordirak ohnehin von einer funktionierenden staatlichen Schutzinfrastruktur auszugehen.</w:t>
      </w:r>
    </w:p>
    <w:p>
      <w:r>
        <w:rPr>
          <w:b/>
        </w:rPr>
        <w:t>E. 5.5</w:t>
      </w:r>
    </w:p>
    <w:p>
      <w:r>
        <w:t>Das Bundesverwaltungsgericht schliesst sich der Auffassung der Vorinstanz an. Die eingereichten Beweismittel stellen allgemeine Abhandlungen zur Verfolgungsgefahr von Homosexuellen und Emos dar, die sich zur Hauptsache auf den Zentralirak beziehen, woraus sich nicht ohne Weiteres eine konkrete Gefährdung für den Beschwerdeführer ableiten lässt. Entgegen der Ansicht des Beschwerdeführers ist das Gericht der Auffassung, dass die Entführung des Bandmitglieds und der anschliessende Erpressungsversuch - selbst bei Wahrunterstellung - nicht asylrelevant sind. Diese Übergriffe stellen nicht etwa eine gezielte Verfolgung aufgrund der vermeintlichen Homosexualität oder Teufelsanbeterei des Beschwerdeführers und seiner Bandmitglieder dar, sondern verfolgen mit der Erpressung eines Lösegeldes lediglich finanzielle Interessen. Mithin mangelt es dieser Verfolgung an einem asylrelevanten Verfolgungsmotiv. Das Bundesverwaltungsgericht geht in seiner Rechtsprechung zwar von der Schutzunwilligkeit der nordirakischen Behörden aus, sofern eine Person aufgrund ihrer Homosexualität von nicht-staatlichen Akteuren verfolgt wird (vgl. Urteil des Bundesverwaltungsgerichts D-6445/2009 vom 10. Januar 2012 E. 4.2.4). Die Verfolgung des Beschwerdeführers erfolgte jedoch nicht aus homophoben Gründen. Die Schutzwilligkeit und -fähigkeit der nordirakischen Behörden hinsichtlich nicht homophob, sondern vielmehr finanziell motivierten kriminellen Taten, ist demgegenüber zu bejahen. So sind gemäss BVGE 2008/4 die kurdischen Behörden grundsätzlich in der Lage, ihren Bürgern genügend Schutz vor nicht-staatlichen Übergriffen zu bieten (E. 6.5 S. 46). Die Vorinstanz hat damit zu Recht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2001/24 E. 10.2 S. 502;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Gemäss weiterhin zutreffender bundesverwaltungsgerichtlicher Recht­sprechung ist der Wegweisungsvollzug in die kur­dischen Provinzen im Nordirak grundsätzlich zumutbar, sofern der Beschwerdeführer aus dieser Region stammt und dort über ein tragfähiges Beziehungsnetz verfügt (vgl. BVGE 2008/5 E. 7.5.8 S. 72; Urteil des Bundesverwaltungsgerichts E-4673/2009 vom 24. Mai 2012 E. 4.2.2). Der Beschwerdeführer ist jung, gesund und stammt aus X._______, wo er bis zu seiner Ausreise lebte (act. A3 Ziff. 2. S. 4). Mit seinen Eltern und seinen neun Geschwistern (Ebd. Ziff. 3.01 S. 4) besitzt er dort ein tragfähiges Beziehungsnetz. Der Beschwerdeführer verfügt über eine 14-jährige Schuldbildung, studierte zuletzt Kunst (ohne Abschluss) und verfügt darüber hinaus über Berufserfahrung als Coiffeur und Besitzer eines Minimarket (Ebd. Ziff. 1.17.04 f. S. 3 f.). Somit sind keine Anhaltspunkte ersichtlich, die gegen die Zumutbarkeit der Wegweisung sprechen.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Das Bundesverwaltungsgericht hat das Gesuch um Gewährung der unentgeltlichen Rechtspflege im Sinne von Art. 65 Abs. 1 VwVG mit Zwischenverfügung vom 10. Januar 2013 gutgeheissen, so dass im vorliegenden Verfahren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