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D-6702/2012 vom 10. Dezember 2013</w:t>
      </w:r>
    </w:p>
    <w:p>
      <w:r>
        <w:t>Bundesverwaltungsgericht, 2013-12-10, IT</w:t>
      </w:r>
    </w:p>
    <w:p>
      <w:r>
        <w:rPr>
          <w:b/>
        </w:rPr>
        <w:t xml:space="preserve">Quelle: </w:t>
      </w:r>
      <w:r>
        <w:t>https://mcp.opencaselaw.ch/entscheid/bvger_D-6702_2012</w:t>
      </w:r>
    </w:p>
    <w:p>
      <w:r>
        <w:t>FR: TAF D-6702/2012 du 10 décembre 2013</w:t>
      </w:r>
    </w:p>
    <w:p>
      <w:r>
        <w:t>IT: TAF D-6702/2012 del 10 dicembre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provenienti dallo Sri Lanka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dello Sri Lanka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tale Ufficio ha deciso di fare chiarezza sui due casi in questione nonché su un eventuale cambiamento della situazione in generale nel Paese, in particolare per quanto riguarda le persone rimpatriate. L'autorità inferiore ha pertanto dato incarico all'Alto Commissariato delle Nazioni Unite per i rifugiati (UNHCR) di sottoporre a un controllo di qualità i casi delle due persone arrestate. In seguito, lo stesso UNHCR esaminerà i dossier dei richiedenti l'asilo provenienti dallo Sri Lanka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27 novembre 2012, non sono, in tutta evidenza, accertati in modo completo. Di conseguenza, è indubbio che una nuova analisi della situazione nel Paese potrà influire sull'accertamento dei fatti rilevanti nel caso in esame e, di fatto,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27 novembre 2012 è annullata. La causa è pertanto rinviata all'autorità inferiore per il completamento dell'istruttoria e per l'emanazione di una nuova decisione ai sensi dei considerandi. L'incarto dell'UFM nonché il dossier del Tribunale, il quale sarà parte integrante degli atti per la procedura di prima istanza, sono trasmessi all'UFM. Visto l'esito della procedura, allo stato attuale non vi è luogo di analizzare le ulteriori allegazioni dell'interessata.</w:t>
      </w:r>
    </w:p>
    <w:p>
      <w:r>
        <w:rPr>
          <w:b/>
        </w:rPr>
        <w:t>E. 5.1</w:t>
      </w:r>
    </w:p>
    <w:p>
      <w:r>
        <w:t>Non si prelevano spese processuali (cfr. art. 63 cpv. 1 e 2 PA) e il Tribunale rifonderà l'importo di CHF 600.- alla ricorrente, versato da quest'ultima in data 10 gennaio 2013 quale anticipo a copertura delle presunte spese processuali.</w:t>
      </w:r>
    </w:p>
    <w:p>
      <w:r>
        <w:rPr>
          <w:b/>
        </w:rPr>
        <w:t>E. 5.2</w:t>
      </w:r>
    </w:p>
    <w:p>
      <w:r>
        <w:t>La parte vincente ha diritto a un'indennità a titolo di spese ripetibili per le spese necessarie derivanti dalla procedura di ricorso (art. 64 PA in combinato disposto con l'art. 7 del regolamento sulle tasse e sulle spese ripetibili nelle cause dinanzi al Tribunale amministrativo federale del 21 febbraio 2008 [TS-TAF, RS 173.320.2]). Nella fattispecie, il patrocinatore della ricorrente non ha inoltrato una nota dettagliata delle spese. Tale indennità viene dunque determinata dal Tribunale sulla base degli atti di causa (cfr. art. 14 cpv. 2 TS-TAF). In considerazione dei fattori di calcolo determinanti (cfr. art. 9 - 13 TS-TAF), della prassi adottata dal Tribunale in casi comparabili e del tempo necessario alla rappresentanza, le spese ripetibili sono fissate a CHF 1'600.- (imposta sul valore aggiunto [IVA] e altre spese incluse).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