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D-6701/2010 vom 13. Januar 2012</w:t>
      </w:r>
    </w:p>
    <w:p>
      <w:r>
        <w:t>Bundesverwaltungsgericht, 2012-01-13, DE</w:t>
      </w:r>
    </w:p>
    <w:p>
      <w:r>
        <w:rPr>
          <w:b/>
        </w:rPr>
        <w:t xml:space="preserve">Quelle: </w:t>
      </w:r>
      <w:r>
        <w:t>https://mcp.opencaselaw.ch/entscheid/bvger_D-6701_2010</w:t>
      </w:r>
    </w:p>
    <w:p>
      <w:r>
        <w:t>FR: TAF D-6701/2010 du 13 janvier 2012</w:t>
      </w:r>
    </w:p>
    <w:p>
      <w:r>
        <w:t>IT: TAF D-6701/2010 del 13 gennaio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ihrer Rechtsmitteleingabe rügten die Beschwerdeführerinnen, es bestünden erhebliche Zweifel an der Richtigkeit der Ergebnisse der Botschaftsabklärung. Die Abklärungsergebnisse stützten sich auf einseitige, voreingenommene und für die Beschwerdeführerin nicht überprüfbare Quellen. Die Beschwerdeführerin verwies in diesem Zusammenhang auf ihre ausführliche Stellungnahme vom 9. Juli 2010 (vgl. A18/4) sowie auf die Erwägungen des Bundesverwaltungsgerichts im Urteil D-796/2008 vom 13. April 2010, in welchem bei einer Botschaftsabklärung durch einen äthiopischen Vertrauensanwalt zahlreiche Unzulänglichkeiten und Rechtsverletzungen festgestellt worden seien. Sowohl im zitieren Urteil als auch im vorliegenden Fall liege eine Verletzung von Art. 97 Abs. 1 AsylG vor, zumal im vorliegenden Fall aus dem Bericht über die Botschaftsabklärung hervorgehe, dass der Name der Beschwerdeführerin gegenüber Drittpersonen (insbesondere den heutigen Bewohnern des Hauses) bekannt gegeben worden sei, was eine Gefährdung der Beschwerdeführerin und ihrer Verwandten im Heimatland zur Folge haben könnte. Die angefochtene Verfügung des BFM verletze bezüglich der Bot­schaftsabklärung auch mehrfach den Anspruch der Beschwerdeführerin auf rechtliches Gehör, da aus dem Bericht nicht hervor gehe, mit welchen konkreten Fragen das BFM an welche konkrete Person gelangt sei und welche konkreten Antworten es erhalten habe. Indem das BFM sich auf derart unsubstanziierte Angaben gestützt habe, verletzte es die Begründungspflicht.</w:t>
      </w:r>
    </w:p>
    <w:p>
      <w:r>
        <w:rPr>
          <w:b/>
        </w:rPr>
        <w:t>E. 5.2</w:t>
      </w:r>
    </w:p>
    <w:p>
      <w:r>
        <w:t>Im Rahmen der Botschaftsabklärung hat sich die Vorinstanz bei der Anwendung von Art. 27 und Art. 28 VwVG an den durch die Rechtsprechung festgelegten Umfang gehalten (siehe in diesem Zusammenhang das Urteil des Bundesverwaltungsgerichts E-3583/2009 vom 28. Septem­ber 2009 E. 4.5.3 s. 11; EMARK 1994 Nr. 26; EMARK 1994 Nr. 1). Insbesondere wurde das Erfordernis von Art. 28 VwVG erfüllt, wonach, falls einer Partei die Einsichtnahme in ein Aktenstück verweigert wird, auf dieses nur abgestellt werden darf, wenn ihr die Behörde von seinem für die Sache wesentlichen Inhalt mündlich oder schriftlich Kenntnis und ausserdem Gelegenheit gegeben hat, sich zu äussern und Gegenbeweismittel zu nennen. Im vorliegenden Fall wurde den Beschwerdeführerinnen mit Schreiben des BFM vom 19. Juni 2010 sowohl der wesentlichen Inhalt der Botschaftsanfrage vom 30. April 2010 mitgeteilt als auch der Inhalt der Abklärungsergebnisse vom 10. Juni 2010. Dieses Vorgehen ist durch die in Art. 27 Abs. 1 Bst. a VwVG genannten Geheimhaltungsgründe abgedeckt, und die in diesem Zusammenhang erhobene Rügen in der Beschwerdeschrift, das BFM habe die Begründungspflicht verletzt, trifft ins Leere.</w:t>
      </w:r>
    </w:p>
    <w:p>
      <w:r>
        <w:rPr>
          <w:b/>
        </w:rPr>
        <w:t>E. 5.3</w:t>
      </w:r>
    </w:p>
    <w:p>
      <w:r>
        <w:t>Darüber hinaus ist die Begründung in der angefochtenen Verfügung einerseits nachvollzieh- und damit sachgerecht anfechtbar, was noch nichts über die Stimmigkeit der Begründung aussagt. Anderseits tragen die Ausführungen in der Beschwerdeeingabe nichts zur Klärung der Unstimmigkeiten zwischen den Aussagen der Beschwerdeführerin bezüglich der angeblichen Enteignung ihres Hauses durch die IHADIG und den Abklärungen der Schweizer Vertretung, wonach die fragliche Immobilie seit 30 Jahren von einer Familie bewohnt werde, die mit der Beschwerdeführerin in keinem verwandtschaftlichen Verhältnis stehe. Gelangt die Behör­de bei pflichtgemässer Beweiswürdigung zur Überzeugung, der zu bewei­sende Sachverhalt sei nicht rechtserheblich oder der angebotene Beweis nicht geeignet, weitere Abklärungen herbeizuführen, kann auf ein beantragtes Beweismittel verzichtet werden (zur antizipierten Beweiswürdigung vgl. BGE 127 I 54 E. 2b S. 56, BGE 122 V 157 E. 1d S. 162, BGE 119 V 335 E. 2c S. 344). Gestützt auf die Ergebnisse der Botschaftsabklärung, durfte die Vorinstanz von weiteren Beweiserhebungen absehen. Das BFM hat deshalb zu Recht diesbezüglich auf weitere Abklärungen verzichtet sowie auf weitere Ausführungen in der angefochtenen Verfügung verzichtet.</w:t>
      </w:r>
    </w:p>
    <w:p>
      <w:r>
        <w:rPr>
          <w:b/>
        </w:rPr>
        <w:t>E. 5.4</w:t>
      </w:r>
    </w:p>
    <w:p>
      <w:r>
        <w:t>Bei dieser Sachlage führen zusätzliche Abklärungen im vorliegenden Beschwerdeverfahren nicht zu neuen sachdienlichen Erkenntnissen, wes­halb auf Beschwerdeebene auf weitere Beweiserhebungen verzichtet wird.</w:t>
      </w:r>
    </w:p>
    <w:p>
      <w:r>
        <w:rPr>
          <w:b/>
        </w:rPr>
        <w:t>E. 6.1</w:t>
      </w:r>
    </w:p>
    <w:p>
      <w:r>
        <w:t>Auch die weiteren Vorbringen in der Rechtsmitteleingabe sind nicht geeignet eine Änderung der vorinstanzlichen Verfügung zu bewirken. We­der besteht für das Bundesverwaltungsgericht Veranlassung an der Richtigkeit der Abklärungen der Schweizer Vertretung in Addis Abeba zu zweifeln, noch nach Überprüfung der Akten die Erwägungen des BFM be­züglich der Unglaubhaftigkeit der geltend gemachten Verfolgungsvorbringen zu beanstanden. Der Schweizer Vertretung in Addis Abeba ist es über Verbindungsleute möglich, diskrete Nachforschungen anzustellen. Dabei ist es nicht notwendig, die Verbindungsleute über den Kontext, in dem die Fragen gestellt werden, ins Bild zu setzen, weshalb eine Gefährdung von Personen, deren Daten erhoben werden, weitestgehend ausge­schlossen werden kann.</w:t>
      </w:r>
    </w:p>
    <w:p>
      <w:r>
        <w:rPr>
          <w:b/>
        </w:rPr>
        <w:t>E. 6.2</w:t>
      </w:r>
    </w:p>
    <w:p>
      <w:r>
        <w:t>Die auf Beschwerdeebenen erhobene pauschale Kritik, wonach den Abklärungen im Auftrag der Schweizer Botschaft in Addis Abeba generell der Beweiswert abgesprochen wird, ist zurückzuweisen. Das Bundesverwaltungsgericht sieht keinen Anlass, an der Seriosität der Abklärungen durch die von der Schweizer Vertretung beauftragten Vertrauenspersonen zu zweifeln. Selbst wenn sich in Einzelfällen bestimmte Informationen als unzutreffend oder ungenau erweisen mögen, heisst dies keineswegs, dass derartige Recherchen von vornherein als Beweismittel untauglich sind. Zudem ist der Sachverhalt im vorliegenden Fall nicht mit demjenigen im zitierten Urteil des Bundesverwaltungsgericht D-796/2008 vom 13. April 2010 zu vergleichen. Im vorliegenden Fall traten die Verbindungsleute der Schweizer Vertretung lediglich zur Abklärung der Wohnverhältnisse mit Privatpersonen in Kontakt, währendem im zitierten Entscheid, unter anderem nachgeforscht werden sollte, ob der Telefonanschluss dieses Beschwerdeführers tatsächlich gesperrt oder ob sein Auto tatsächlich zerstört worden sei (vgl. a.a.O., E.4.1.3 S. 8).</w:t>
      </w:r>
    </w:p>
    <w:p>
      <w:r>
        <w:rPr>
          <w:b/>
        </w:rPr>
        <w:t>E. 6.3</w:t>
      </w:r>
    </w:p>
    <w:p>
      <w:r>
        <w:t>Auch die mit Eingabe vom 27. Oktober 2010 eingereichten Unterlange vermögen zu keiner anderen Einschätzung zu führen, zumal im Heimatland der Beschwerdeführerin gegen Bezahlung nahezu alle möglichen Dokumente käuflich zu erhalten sind.</w:t>
      </w:r>
    </w:p>
    <w:p>
      <w:r>
        <w:rPr>
          <w:b/>
        </w:rPr>
        <w:t>E. 6.4</w:t>
      </w:r>
    </w:p>
    <w:p>
      <w:r>
        <w:t>Bei dieser Sachlage erübrigt es sich, auf die weiteren Ausführungen in der Beschwerde sowie die die eingereichten Beweismittel im Einzelnen einzugehen, da diese nicht geeignet sind, zu einer anderen rechtlichen Würdigung der Aktenlage zu führen. Unter diesen Umständen ist somit festzuhalten, dass die Beschwerdeführerinnen einen flüchtlingsrechtlich bedeutsamen Sachverhalt weder nachgewiesen noch glaubhaft gemacht haben, und das BFM die Asylgesuche zu Recht und mit zutreffender Begründung abgelehnt hat. Es ist in casu von der äthiopischen Staatsangehörigkeit der Beschwerdeführerinnen auszugehen.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Beschwerdeführerinnen verfügen weder über eine ausländerrechtliche Aufenthaltsbewilligung noch über einen Anspruch auf Erteilung einer solchen. Die Wegweisung wurde demnach zu Recht angeordnet (Art. 44 Abs. 1 AsylG; vgl. BVGE 2009/50 E. 9 S. 733 mit weiteren Hinweisen).</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den Be­schwerdeführerinnen nicht gelungen ist, eine asylrechtlich erhebliche Gefährdung nachzuweisen oder glaubhaft zu machen, kann der in Art. 5 AsylG verankerte Grundsatz der Nichtrückschiebung im vorliegenden Verfahren keine Anwendung finden. Eine Rückkehr der Beschwerdefüh­re­rinnen nach Äthiopien ist demnach unter dem Aspekt von Art. 5 AsylG rechtmässig. Sodann ergeben sich weder aus den Aussagen der Beschwerdefüh­re­rin­nen noch aus den Akten Anhaltspunkte dafür, dass sie für den Fall einer Ausschaffung nach Äthiopien dort mit beachtlicher Wahrscheinlichkeit einer nach Art. 3 EMRK oder Art. 1 FoK verbotenen Strafe oder Behandlung ausgesetzt wären. Gemäss Praxis des Europäischen Gerichtshofes für Menschenrechte (EGMR) sowie jener des UN-Anti-Folterausschusses müssten die Beschwerdeführerinnen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in Äthiopien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8.5</w:t>
      </w:r>
    </w:p>
    <w:p>
      <w:r>
        <w:t>In Äthiopien herrscht zurzeit keine Situation allgemeiner Gewalt, wes­halb in konstanter Praxis von der generellen Zumutbarkeit des Wegweisungsvollzugs nach Äthiopien ausgegangen wird (vgl. beispielsweise D-4738/2010 vom 3. Februar 2011; bereits EMARK 1998 Nr. 22). Seit der Unterzeichnung des Friedensabkommens zwischen Äthiopien und Eritrea am 12. Dezember 2000 kontrollieren UNO-Soldaten die Grenze zwischen den beiden Ländern. Zwar konnten diese ein sporadisches Wiederaufflackern des Grenzkonfliktes nicht verhindern. Eine landesweite Situation allgemeiner Gewalt ist dadurch aber nicht entstanden. Entsprechend muss nicht von einer konkreten Gefährdung der Beschwerdeführenden ausgegangen werden.</w:t>
      </w:r>
    </w:p>
    <w:p>
      <w:r>
        <w:rPr>
          <w:b/>
        </w:rPr>
        <w:t>E. 8.6</w:t>
      </w:r>
    </w:p>
    <w:p>
      <w:r>
        <w:t>Im Weiteren ist das Vorliegen individueller Wegweisungshindernisse der Beschwerdeführerinnen zu prüfen. In diesem Zusammenhang ist jedoch vorweg festzuhalten, dass die Asylbehörden - bei unglaubhaften Angaben zu den Lebensumständen - analog den Fällen, in denen aufgrund vom Asylgesuchsteller zu verantwortenden Umständen nicht feststeht, welches sein Herkunftsland beziehungsweise sein Herkunftsort ist (vgl. EMARK 2005 Nr. 1 E.3.2.2. S. 5 f.), nicht gehalten sind, nach möglichen Vollzugshindernissen zu suchen. Der Beschwerdeführerin ist es gelungen, von Äthiopien aus die Reise in die Schweiz zu organisieren und deren Finanzierung zu regeln, was auf ein ausreichendes dortiges soziales Beziehungsnetz schliessen lässt. Die junge und den Akten zufolge offensichtliche gesunde Beschwerdeführerin verfügt über berufliche Erfahrungen als Reinigungskraft. Aufgrund dieser begünstigenden Faktoren ist nicht davon auszugehen, dass sie bei einer Rückkehr nach Äthiopien in eine existenzielle Notlage geraten wird. Der Vollzug der Wegweisung ist daher in Würdigung aller Umstände als zumutbar bezeichnen.</w:t>
      </w:r>
    </w:p>
    <w:p>
      <w:r>
        <w:rPr>
          <w:b/>
        </w:rPr>
        <w:t>E. 8.7</w:t>
      </w:r>
    </w:p>
    <w:p>
      <w:r>
        <w:t>Schliesslich obliegt es den Beschwerdeführerinnen,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8.8</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den Beschwerdefüh­rerinnen aufzuerlegen (Art. 63 Abs. 1 VwVG, auf insgesamt Fr. 600.- fest­zusetzen (Art. 1 - 3 des Reglements vom 21. Februar 2008 über die Kosten und Entschädigungen vor dem Bundesverwaltungsgericht [VGKE, SR 173.320.2]) und mit dem am 6. Oktober 2010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