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D-6678/2019 vom 24. August 2020</w:t>
      </w:r>
    </w:p>
    <w:p>
      <w:r>
        <w:t>Bundesverwaltungsgericht, 2020-08-24, DE</w:t>
      </w:r>
    </w:p>
    <w:p>
      <w:r>
        <w:rPr>
          <w:b/>
        </w:rPr>
        <w:t xml:space="preserve">Quelle: </w:t>
      </w:r>
      <w:r>
        <w:t>https://mcp.opencaselaw.ch/entscheid/bvger_D-6678_2019</w:t>
      </w:r>
    </w:p>
    <w:p>
      <w:r>
        <w:t>FR: TAF D-6678/2019 du 24 août 2020</w:t>
      </w:r>
    </w:p>
    <w:p>
      <w:r>
        <w:t>IT: TAF D-6678/2019 del 24 agosto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Gestützt auf Art. 111a Abs. 1 AsylG wurde auf einen Schriftenwechsel verzichtet.</w:t>
      </w:r>
    </w:p>
    <w:p>
      <w:r>
        <w:rPr>
          <w:b/>
        </w:rPr>
        <w:t>E. 2</w:t>
      </w:r>
    </w:p>
    <w:p>
      <w:r>
        <w:t>Die Kognition des Bundesverwaltungsgerichts und die zulässigen Rügen richten sich im Asylbereich nach Art. 106 Abs. 1 AsylG.</w:t>
      </w:r>
    </w:p>
    <w:p>
      <w:r>
        <w:rPr>
          <w:b/>
        </w:rPr>
        <w:t>E. 3</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2018 VI/6 E. 5, BVGE 2017 VI/4 E. 3.1 und E. 4.4.2, 2012/32 E. 5).</w:t>
      </w:r>
    </w:p>
    <w:p>
      <w:r>
        <w:rPr>
          <w:b/>
        </w:rPr>
        <w:t>E. 4.1</w:t>
      </w:r>
    </w:p>
    <w:p>
      <w:r>
        <w:t>Das SEM führte zur Begründung seiner Verfügung im Wesentlichen aus, der Beschwerdeführer habe (...) zusammen mit seiner Ehefrau und den gemeinsamen Kindern Sri Lanka verlassen und sich nach Thailand begeben, wo sie in der Folge während rund fünf Jahren als Familie zusammengelebt hätten. Durch die Weiterreise des Beschwerdeführers in die Schweiz sei keine unfreiwillige Trennung der Familie aufgrund der Fluchtumstände im Sinne von Art. 51 Abs. 4 AsylG erfolgt.</w:t>
      </w:r>
    </w:p>
    <w:p>
      <w:r>
        <w:rPr>
          <w:b/>
        </w:rPr>
        <w:t>E. 4.2</w:t>
      </w:r>
    </w:p>
    <w:p>
      <w:r>
        <w:t>In seinem Rechtsmittel macht der Beschwerdeführer geltend, er habe sich angesichts der schwierigen Lebensumstände in Thailand zur Weiterreise entschieden. Thailand sei nie sein definitives Reiseziel und dasjenige seiner Familie gewesen, sondern stets ein Zwischenziel auf der Flucht. Er habe während des fünfjährigen Aufenthalts in Thailand verschiedene Anstrengungen unternommen, um zusammen mit seiner Familie die Flucht fortzusetzen. So habe er zunächst darauf gehofft, dass das UNHCR ihm und seiner Familie mittels «Resettlement» zur Weitereise verhelfen würde. 2017 habe er auf der Schweizerischen Botschaft in Bangkok zudem «sinngemäss» um Botschaftsasyl beziehungsweise um ein humanitäres Visum ersucht. Aufgrund fehlender finanzieller Mittel habe er die Reise schliesslich alleine antreten müssen.</w:t>
      </w:r>
    </w:p>
    <w:p>
      <w:r>
        <w:rPr>
          <w:b/>
        </w:rPr>
        <w:t>E. 5</w:t>
      </w:r>
    </w:p>
    <w:p>
      <w:r>
        <w:t>Der Beschwerdeführer beantragt Familiennachzug gestützt auf Art. 51 AsylG für seine Ehefrau und seine beiden minderjährigen Kinder; diese sind zusammen mit ihm im Jahr (...) aus Sri Lanka geflohen; die Familie lebte in der Folge fünf Jahre lang in Thailand, von UNHCR als Flüchtlinge anerkannt, bis der Beschwerdeführer allein in die Schweiz weiterreiste. Hier ist er als Flüchtling anerkannt worden und hat er Asyl erhalten. Die Familie, um deren Nachzug ersucht wird, ist in Thailand zurückgeblieben. Unbestritten ist, dass Ehefrau und minderjährige Kinder zum berechtigten Personenkreis der Familie gehören; ebenso unbestritten ist, dass eine Trennung erst nach der Flucht in einem Drittland - unter Vorbehalt «besonderer Umstände» - ebenfalls als Trennung «durch die Flucht» im Sinne von Art. 51 Abs. 4 AsylG gilt. Fraglich bleibt vorliegend, ob der Umstand, dass der Beschwerdeführer nach fünf Jahren Aufenthalt in Thailand alleine in die Schweiz weitergereist ist und Frau und Kinder dort zurückgelassen hat, einen «besonderen Umstand» im Sinne von Art. 51 AsylG darstellt, der dem Familiennachzug entgegensteht. Die angefochtene Verfügung bejaht dies; sie geht davon aus, mit seiner alleinigen Weiterreise habe der Beschwerdeführer die Familiengemeinschaft freiwillig aufgehoben (vgl. die angefochtene Verfügung, S. 2). Das Bundesverwaltungsgericht geht gemäss koordinierter Praxis von freiwilliger Trennung der Familiengemeinschaft im Drittland namentlich dann aus, wenn die Familie im Drittland einen legalen Aufenthalt hatte und dennoch einer der Familie weiterreist. Das SEM äussert sich in seiner Verfügung indes nicht zu den Umständen des Aufenthalts der Familie in Thailand; dies ist vorliegend aber entscheidrelevant. Die Verfügung ist demnach zu kassieren, nachdem es an Abklärungen des SEM zum tatsächlichen Status der Flüchtlingsfamilie in Thailand ebenso wie an einer diesbezüglichen Begründung fehlt.</w:t>
      </w:r>
    </w:p>
    <w:p>
      <w:r>
        <w:rPr>
          <w:b/>
        </w:rPr>
        <w:t>E. 6</w:t>
      </w:r>
    </w:p>
    <w:p>
      <w:r>
        <w:t>Nach dem Gesagten ist die Beschwerde gutzuheissen, soweit die Aufhebung der angefochtenen Verfügung beantragt wird. Die vorinstanzliche Verfügung ist aufzuheben und die Sache zur vollständigen und richtigen Sachverhaltsermittlung und zur Neubeurteilung im Sinne der Erwägungen an die Vorinstanz zurückzuweisen.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am 16. Dezember 2019 ihre Kostennote zu den Akten gereicht. Der geltend gemachte zeitliche Aufwand von 5.75 Stunden erscheint angemessen. Der veranschlagte Stundensatz von Fr. 150.- entspricht Art. 10 Abs. 2 VGKE. Unter Einbezug der ausgewiesenen Auslagen im Umfang von Fr. 4.20 sowie Dolmetscherkosten von Fr. 80.- beläuft sich das Honorar der Rechtsvertreterin des Beschwerdeführers auf gerundet Fr. 947.- und entspricht damit dem Vertretungsaufwand des Beschwerdeführers. Die Vorinstanz wird angewiesen, dem Beschwerdeführer eine Parteientschädigung in genannter Höhe auszurichten.</w:t>
      </w:r>
    </w:p>
    <w:p>
      <w:r>
        <w:rPr>
          <w:b/>
        </w:rPr>
        <w:t>E. 7.3</w:t>
      </w:r>
    </w:p>
    <w:p>
      <w:r>
        <w:t>Die Gesuche um Gewährung der unentgeltlichen Prozessführung und Rechtsverbeiständung sowie um Verzicht auf die Erhebung eines Kostenvorschusses werden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