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D-6675/2024 vom 10. Oktober 2024</w:t>
      </w:r>
    </w:p>
    <w:p>
      <w:r>
        <w:t>Bundesverwaltungsgericht, 2024-10-10, DE</w:t>
      </w:r>
    </w:p>
    <w:p>
      <w:r>
        <w:rPr>
          <w:b/>
        </w:rPr>
        <w:t xml:space="preserve">Quelle: </w:t>
      </w:r>
      <w:r>
        <w:t>https://mcp.opencaselaw.ch/entscheid/bvger_D-6675_2024_d20241010</w:t>
      </w:r>
    </w:p>
    <w:p>
      <w:r>
        <w:t>FR: TAF D-6675/2024 du 10 octobre 2024</w:t>
      </w:r>
    </w:p>
    <w:p>
      <w:r>
        <w:t>IT: TAF D-6675/2024 del 10 ottobre 2024</w:t>
      </w:r>
    </w:p>
    <w:p>
      <w:pPr>
        <w:pStyle w:val="Heading2"/>
      </w:pPr>
      <w:r>
        <w:t>Regeste</w:t>
      </w:r>
    </w:p>
    <w:p>
      <w:r>
        <w:t>Nichteintreten auf Asylgesuch und Wegweisung (Dublin-Verfahren - Art. 31a Abs. 1 Bst. b AsylG) | Nichteintreten auf Asylgesuch und Wegweisung (Dublin-Verfahren); Verfügung des SEM vom 10. Oktober 2024</w:t>
      </w:r>
    </w:p>
    <w:p>
      <w:pPr>
        <w:pStyle w:val="Heading2"/>
      </w:pPr>
      <w:r>
        <w:t>Erwägungen</w:t>
      </w:r>
    </w:p>
    <w:p>
      <w:r>
        <w:rPr>
          <w:b/>
        </w:rPr>
        <w:t>E. 10</w:t>
      </w:r>
    </w:p>
    <w:p>
      <w:r>
        <w:t>Dezember 1984 gegen Folter und andere grausame, unmenschliche oder erniedrigende Behandlung oder Strafe (FoK, SR 0.105), des Abkom- mens vom 28. Juli 1951 über die Rechtsstellung der Flüchtlinge (FK,</w:t>
      </w:r>
    </w:p>
    <w:p>
      <w:r>
        <w:t>D-6675/2024 Seite 6 SR 0.142.30) sowie des Zusatzprotokolls der FK vom 31. Januar 1967 (SR 0.142.301) ist und grundsätzlich davon auszugehen ist, dass es sei- nen diesbezüglichen völkerrechtlichen Verpflichtungen nachkommt, dass auch anzunehmen ist, dieser Staat anerkenne und schütze die Rechte,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dass die Vermutung, Bulgarien halte seine völker- und gemeinschaftsrecht- lichen Verpflichtungen ein, zwar im Einzelfall widerlegt werden kann, es hierfür aber konkreter und ernsthafter Hinweise bedarf, die von der be- troffenen Person glaubhaft darzutun sind, wobei die vom Beschwerdefüh- rer geübte Kritik am bulgarischen Asylsystem nicht genügt, diese grund- sätzliche Vermutung umzustossen (vgl. BVGE 2010/45 E. 7.4 f.), dass der Beschwerdeführer kein konkretes und ernsthaftes Risiko darge- tan hat, die bulgarischen Behörden würden ihm nach einer Überstellung den Zugang zu einem allfälligen Wiederaufnahmeverfahren unter Einhal- tung der Regeln der Verfahrensrichtlinie verweigern, dass hinsichtlich der in der Beschwerde geäusserten Kritik an der Asylpra- xis Bulgariens (vgl. Beschwerde Ziff. 15) festzuhalten ist, dass den Akten keine Gründe für die Annahme zu entnehmen sind, Bulgarien werde in sei- 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mit der vom Beschwerdeführer im Dublin-Gespräch und in der Be- schwerde geäusserten Kritik an den schlechten Lebens- und Unterkunfts- bedingungen für Asylsuchende in Bulgarien sowie deren schlechte Be- handlung durch bulgarische Behördenmitglieder (vgl. Beschwerde Ziff. 8, 9 und 17) nicht dargetan wird, die ihn bei einer Rückführung zu erwarten- den Bedingungen in Bulgarien seien derart schlecht, dass sie zu einer Ver- letzung von Art. 4 der EU-Grundrechtecharta, Art. 3 EMRK oder Art. 3 FoK führen könnten,</w:t>
      </w:r>
    </w:p>
    <w:p>
      <w:r>
        <w:t>D-6675/2024 Seite 7 dass angesichts der Schilderungen des Beschwerdeführers zu vermuten ist, er habe in Bulgarien keine einfachen Umstände angetroffen, er im Falle einer Rücküberstellung jedoch nicht als Neuankömmling behandelt, son- dern direkt in die dortigen Asylstrukturen aufgenommen würde, und er bei einer allfälligen vorübergehenden Einschränkung der ihm zustehenden Aufnahmebedingungen oder im Fall, dass er ungerecht oder rechtswidrig behandelt würde, sich an die bulgarischen Behörden wenden und seine Rechte notfalls auf dem Rechtsweg wird einfordern können, da Bulgarien ein Rechtsstaat mit grundsätzlich funktionierendem Justizsystem ist, dass hinsichtlich der in der Beschwerde geäusserten Vorbehalte zum Zu- gang von Asylsuchenden zur bulgarischen Gesundheitsversorgung (vgl. Beschwerde Ziff. 8 und 10) festzuhalten ist, dass eine zwangsweise Rück- weisung von Personen mit gesundheitlichen Problemen nur ausnahms- weise einen Verstoss gegen Art. 3 EMRK darstellen kann (vgl. BVGE 2011/9 E. 7) und der Beschwerdeführer keine gesundheitlichen Probleme geltend machte (vgl. SEM-act. […]-13/2 S. 1), dass Bulgarien im Übrigen über eine ausreichende medizinische Infra- struktur verfügt, dass es dem Beschwerdeführer obliegen würde, bei allfällig auftretenden gesundheitlichen Problemen in Bulgarien allenfalls benötige medizinische Unterstützungsleistungen einzufordern und bei Missständen gegebenen- falls den Rechtsweg zu beschreiten, dass – sollten vor der Überstellung gesundheitliche Probleme auftreten – die mit dem Vollzug beauftragten schweizerischen Behörden dem aktuel- len Gesundheitszustand des Beschwerdeführers bei der Organisation der Überstellung nach Bulgarien Rechnung tragen werden, indem sie die dor- tigen Behörden im Sinne von Art. 31 und Art. 32 Dublin-III-VO vorgängig über den Gesundheitszustand und eine notwendige medizinische Behand- lung des Beschwerdeführers informieren werden, dass demnach keine völkerrechtlichen Überstellungshindernisse beste- hen, dass der Beschwerdeführer – nachdem er nicht als besonders verletzlich einzustufen ist – auch nicht unter die Kategorie von Personen fällt, für die im Kontext mit einer Überstellung nach Bulgarien allenfalls besondere Zu- sicherungen einzuholen wären (vgl. dazu das Referenzurteil des BVGer F-7195/2018 vom 11. Februar 2020 E. 6.6.5 und 7.3.2 ff.), weshalb das in</w:t>
      </w:r>
    </w:p>
    <w:p>
      <w:r>
        <w:t>D-6675/2024 Seite 8 der Beschwerde gestellte Subeventualbegehren, die Vorinstanz sei anzu- weisen, von den bulgarischen Behörden eine konkrete, schriftliche Zusi- cherung einzuholen, dass ab dem Zeitpunkt der Ankunft in Bulgarien um- gehend Obdach, Nahrung und eine adäquate und regelmässige medizini- sche sowie psychologische Behandlung zur Verfügung stehe (vgl. Be- schwerde Ziff. 23c.), abzuweisen ist, dass gemäss Praxis des Bundesverwaltungsgerichts das SEM bei der An- wendung von Art. 29a Abs. 3 AsylV 1 über einen Ermessensspielraum (vgl. BVGE 2015/9 E. 7 f.) verfügt und die angefochtene Verfügung auch unter diesem Blickwinkel nicht zu beanstanden ist, dass daran zu erinnern ist, dass weder die Dublin-III-VO noch andere völ- kerrechtliche Bestimmungen ein Recht einräumen, den für die Durchfüh- rung des Asylverfahrens zuständigen Staat, geschweige denn den für eine medizinische Behandlung geeignetsten Staat selber frei zu wählen (vgl. BVGE 2017 VI/7 E. 6.11; BVGE 2010/45 E. 8.3), dass die in der Beschwerde erhobene Rüge, das SEM habe die Gefahr, die von den bulgarischen Behörden ausgehe sowie die allgemein schlech- ten Bedingungen für Asylsuchende in Bulgarien nicht genügend berück- sichtigt und keine weiteren Abklärungen getroffen, weshalb der Sachver- halt ungenügend abgeklärt worden sei, nicht stichhaltig ist, da dem SEM die auch vom Bundesverwaltungsgericht erkannten Mängel bei den Auf- nahmebedingungen bekannt sind und der Beschwerdeführer in diesem Zu- sammenhang nichts geltend machte, das weitere Abklärungen notwendig gemacht hätte, dass der Beschwerdeführer im Rahmen des Dublin-Gesprächs erwähnte, in der Schweiz lebe ein Onkel mütterlicherseits, indessen in keiner Weise zu verstehen gab, dass er – als Mann im Alter von (…) Jahren, und soweit bekannt, bei guter Gesundheit – in einem besonderen Abhängigkeitsver- hältnis zu seinem Onkel stehen könnte, weshalb das SEM sich nicht ver- anlasst sehen musste, diesbezüglich Abklärungen vorzunehmen, dass der Antrag, die Sache sei an die Vorinstanz zurückzuweisen, damit diese weitere Abklärungen vornehme und sich mit der Zuständigkeit der Schweiz zur Durchführung des Asylverfahrens des Beschwerdeführers be- schäftige (vgl. Beschwerde Ziff. 22), abzuweisen ist, dass das SEM mithin zu Recht in Anwendung von Art. 31a Abs. 1 Bst. b AsylG auf das Asylgesuch des Beschwerdeführers nicht eingetreten ist und</w:t>
      </w:r>
    </w:p>
    <w:p>
      <w:r>
        <w:t>D-6675/2024 Seite 9 die Überstellung nach Bulgarien in Anwendung von Art. 44 AsylG ebenfalls zu Recht angeordnet hat, weshalb die Beschwerde unter Hinweis auf die vorstehenden Erwägungen abzuweisen ist, dass die Gesuche um Erlass eines superprovisorischen Vollzugsstopps, um Erteilung der aufschiebenden Wirkung der Beschwerde sowie um Ver- zicht auf die Erhebung eines Kostenvorschusses durch den direkten Ent- scheid in der Hauptsache gegenstandslos geworden sind, dass angesichts des Ausgangs des Verfahrens die Kosten grundsätzlich dem Beschwerdeführer aufzuerlegen (Art. 63 Abs. 1 VwVG) sind und das Gesuch um Gewährung der unentgeltlichen Rechtspflege abzuweisen ist, da die Begehren als aussichtlos zu bezeichnen waren, weshalb die Vor- aussetzungen von Art. 65 Abs. 1 VwVG nicht erfüllt sind, dass die Verfahrenskosten von Fr. 750.– (Art. 1‒3 des Reglements vom 21. Februar 2008 über die Kosten und Entschädigungen vor dem Bundes- verwaltungsgericht [VGKE, SR 173.320.2]) dem Beschwerdeführer aufzu- erlegen sind (Art. 63 Abs. 1 VwVG). (Dispositiv nächste Seite)</w:t>
      </w:r>
    </w:p>
    <w:p>
      <w:r>
        <w:t>D-6675/2024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