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D-6674/2019 vom 2. März 2020</w:t>
      </w:r>
    </w:p>
    <w:p>
      <w:r>
        <w:t>Bundesverwaltungsgericht, 2020-03-02, DE</w:t>
      </w:r>
    </w:p>
    <w:p>
      <w:r>
        <w:rPr>
          <w:b/>
        </w:rPr>
        <w:t xml:space="preserve">Quelle: </w:t>
      </w:r>
      <w:r>
        <w:t>https://mcp.opencaselaw.ch/entscheid/bvger_D-6674_2019</w:t>
      </w:r>
    </w:p>
    <w:p>
      <w:r>
        <w:t>FR: TAF D-6674/2019 du 2 mars 2020</w:t>
      </w:r>
    </w:p>
    <w:p>
      <w:r>
        <w:t>IT: TAF D-6674/2019 del 2 marzo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Die Beschwerdeführerin und ihr Kind sind als Verfügungsadressaten zur Beschwerdeführung legitimiert (Art. 48 VwVG). Auf die frist- und formgerecht eingereichte Beschwerde ist einzutreten (aArt. 108 Abs. 1 AsylG und Art. 52 Abs. 1 VwVG).</w:t>
      </w:r>
    </w:p>
    <w:p>
      <w:r>
        <w:rPr>
          <w:b/>
        </w:rPr>
        <w:t>E. 1.4</w:t>
      </w:r>
    </w:p>
    <w:p>
      <w:r>
        <w:t>Gegenstand des vorliegenden Verfahrens bilden die Flüchtlingseigenschaft, die verfügte Wegweisung und der Vollzug der Wegweisung. Ziffer 2 des Dispositivs der angefochtenen Verfügung ist mangels Anfechtung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zur Begründung des Asylentscheids aus, die Asylvorbringen der Beschwerdeführerin würden die Anforderungen an die Flüchtlingseigenschaft gemäss Art. 3 AsylG nicht erfüllen. Im Einzelnen hielt es fest, dass die Kontrolle anlässlich einer Razzia und die (Nennung Dauer) dauernde Festhaltung (Nennung Zeitpunkt) vor der Ausreise weder eine intensive noch eine zielgerichtete Verfolgung von asylrelevanter Intensität darstelle. Das Vorbringen, nach dem Tod ihres Mannes keinen Anspruch auf eine behördliche Wohnung gehabt zu haben, basiere auf wirtschaftlichen Nachteilen und sozialen Lebensbedingungen, die keine asylbeachtliche Verfolgung darstellten. Zudem habe sie nach dem Tod ihres Mannes in derselben Kaserne bei G._______ weiterleben können und sei eigenen Angaben zufolge dort von (...) bis (...) offiziell registriert gewesen. Bezüglich der Zahlungen, welche sie ab (...) nicht mehr erhalten habe, sei festzustellen, dass es ihr bis zu ihrer Ausreise im (...) möglich gewesen sei, ohne diese Geldleistungen zu leben. Sie habe sich deshalb nicht in einer Lage befunden, die ihr ein menschenwürdiges Leben verunmöglicht hätte. Ferner stelle auch der Nachteil, ohne Passierschein in Eritrea nicht arbeiten und sich frei bewegen zu können, keine asylbeachtliche Verfolgung dar. Es bestünden keine objektiven Hinweise, welche die Furcht der Beschwerdeführerin vor einer möglichen Inhaftierung infolge eines fehlenden Passierscheins als begründet erscheinen liessen. Nach dem Tod ihres Mannes habe sich die Beschwerdeführerin lediglich einmal - wenn auch erfolglos - bei der Verwaltung um einen Passierschein bemüht. Zudem sei sie bis zur Ausreise offiziell gemeldet gewesen. Es sei daher nicht von einem besonderen, asylrelevanten Interesse der heimatlichen Behörden an der Beschwerdeführerin im Zeitpunkt ihrer Ausreise auszugehen. Im Übrigen würden auch die Asylakten der in der Schweiz lebenden (Nennung Verwandte) und des (Nennung Verwandter) keine Anhaltspunkte für das Bestehen einer flüchtlingsrechtlich relevanten Gefährdung ergeben. In Ermangelung von Anknüpfungspunkten, welche die Beschwerdeführerin in den Augen des eritreischen Regimes als missliebige Person erscheinen lassen könnten, hielten auch die Vorbringen betreffend illegale Ausreise den Anforderungen an die Flüchtlingseigenschaft gemäss Art. 3 AsylG nicht stand.</w:t>
      </w:r>
    </w:p>
    <w:p>
      <w:r>
        <w:rPr>
          <w:b/>
        </w:rPr>
        <w:t>E. 5.2</w:t>
      </w:r>
    </w:p>
    <w:p>
      <w:r>
        <w:t>Die Beschwerdeführerin entgegnete in der Rechtsmitteleingabe, ihre Ausführungen zu den erlittenen Nachteilen seien als glaubhaft zu erachten. Insbesondere sei sie illegal aus Eritrea ausgereist, zumal ein legales Verlassen für eine Person ihres Alters gar nicht möglich sei. Gemäss der Rechtsprechung des Bundesverwaltungsgerichts sei das erhebliche Risiko einer asylrelevanten Bestrafung bei einer Rückkehr nach Eritrea dann anzunehmen, wenn nebst der illegalen Ausreise weitere Faktoren hinzutreten würden, welche die asylsuchende Person in den Augen der eritreischen Behörden als missliebige Person erscheinen liessen. In der Folge kritisierte die Beschwerdeführerin diese Praxis des Bundesverwaltungsgerichts unter Verweis auf Berichte von internationalen Organisationen, der Schweizerischen Flüchtlingshilfe (SFH) und einem der Rechtsmitteleingabe beigelegten (Nennung Beweismittel). Zudem führte sie an, dass in ihrem Fall tatsächlich weitere Faktoren vorliegen würden, welche sie in den Augen der eritreischen Behörden als missliebige Person erscheinen liessen, weshalb die Flüchtlingseigenschaft zu bejahen sei. So habe man ihr nach dem Tod ihres Mannes im Jahr (...) sowohl den Wohnraum als auch die weiteren Geldzahlungen für den Unterhalt der Tochter gestrichen. Sie sei daher den eritreischen Behörden namentlich bekannt. Die Behörden hätten auch Kenntnis davon, dass sie keinen Militärdienst geleistet habe. Zudem sei sie im Rahmen einer Strassenkontrolle während eines Tages festgehalten worden.</w:t>
      </w:r>
    </w:p>
    <w:p>
      <w:r>
        <w:rPr>
          <w:b/>
        </w:rPr>
        <w:t>E. 6.1</w:t>
      </w:r>
    </w:p>
    <w:p>
      <w:r>
        <w:t>Das Bundesverwaltungsgericht gelangt nach Prüfung der Akten zum Schluss, dass die Vorinstanz die Asylgesuche der Beschwerdeführerin und ihres Kindes zu Recht abgelehnt hat, da sich vorliegend die geltend gemachten Asylvorbringen als nicht asylrelevant erweisen. Die Entgegnungen auf Beschwerdeebene vermögen die vom SEM im angefochtenen Entscheid getroffene Einschätzung nicht umzustossen.</w:t>
      </w:r>
    </w:p>
    <w:p>
      <w:r>
        <w:rPr>
          <w:b/>
        </w:rPr>
        <w:t>E. 6.2</w:t>
      </w:r>
    </w:p>
    <w:p>
      <w:r>
        <w:t>Vorab ist festzustellen, dass das SEM die Glaubhaftigkeit der Vorbringen der Beschwerdeführerin nicht in Frage gestellt hat, weshalb auf die entsprechenden Ausführungen in der Beschwerde nicht weiter einzugehen ist. Die Vorinstanz hat mit zutreffender Begründung festgehalten, dass der Vorfall im (...), anlässlich welchem die Beschwerdeführerin kontrolliert und (Nennung Dauer) festgehalten wurde, keine asylbeachtliche Intensität aufweist. Auch die im Nachgang zum Tod ihres Mannes erlittenen wirtschaftlichen und sozialen Nachteile stellen sich nicht dergestalt dar, dass ihr dadurch ein menschenwürdiges Leben in Eritrea verunmöglicht oder unzumutbar erschwert worden wäre, zumal sie ihren Angaben zufolge bis zur Ausreise im gleichen militärischen Camp (bei G._______) hat wohnen und teilweise auch arbeiten können. Zur Vermeidung von Wiederholungen kann diesbezüglich auf die einlässlichen Ausführungen im angefochtenen Entscheid verwiesen werden.</w:t>
      </w:r>
    </w:p>
    <w:p>
      <w:r>
        <w:rPr>
          <w:b/>
        </w:rPr>
        <w:t>E. 6.3</w:t>
      </w:r>
    </w:p>
    <w:p>
      <w:r>
        <w:t>Weiter ist hinsichtlich der geltend gemachten illegalen Ausreise gemäss aktueller Praxis des Gerichts allein deswegen nicht auf eine begründete Furcht vor asylrechtlich beachtlicher Verfolgung zu schliessen. So bedarf es gemäss dem Referenzurteil des BVGer D-7898/2015 E. 4.6-5.1 für die Begründung der Flüchtlingseigenschaft im eritreischen Kontext zusätzlicher Anknüpfungspunkte, welche die asylsuchende Person in den Augen der eritreischen Behörden als missliebige Person erscheinen lassen und dadurch zu einer flüchtlingsrechtlich relevanten Verfolgungsgefahr führen könnten. Solche zusätzlichen Anknüpfungspunkte sind jedoch - entgegen der in der Beschwerde vertretenen Ansicht - hier nicht zu erkennen. In der Tat stellen alleine ein der Beschwerdeführerin verweigerter Anspruch auf Wohnraum in der Kaserne im Nachgang zum Tod ihres Ehemannes im Jahr (...) oder die Strassenkontrolle im (...), bei welcher sie (Nennung Dauer) festgehalten worden sei, keine solchen Anknüpfungspunkte dar. Dabei ist auch zu berücksichtigen, dass sie eigenen Angaben zufolge in der besagten Kaserne von (...) bis zu ihrer Ausreise im (...) offiziell registriert gewesen ist und dort unter anderem bei G._______ und dessen Familie weitestgehend unbehelligt gelebt und teilweise auch gearbeitet hat (vgl. act. A6/14, S. 5, Ziff. 2.01; A12/22, S. 12 F108). Sodann gab die Beschwerdeführerin an, nie für eine militärische Ausbildung oder den National Service aufgeboten worden zu sein. Sie habe geheiratet und sei Mutter geworden, um nicht nach N._______ gehen zu müssen, auch wenn sie vom Dienst nie offiziell befreit worden sei (vgl. act. A12/22, S. 10, F85 ff.). Es ist unter diesen Umständen nicht davon auszugehen, dass ihr als Mutter zweier Kinder eine Einberufung in den Nationaldienst droht oder dass sie von den eritreischen Militärbehörden als Wehrdienstverweigerin angesehen würde (vgl. auch act. A18/11, S. 7). Gemäss dem erwähnten Referenzurteil ist im Übrigen alleine die Möglichkeit, dass jemand nach der Rückkehr in den Nationaldienst eingezogen werden könnte, nicht asylrelevant. Weder die in der Beschwerdeschrift geäusserte blosse Kritik am Referenzurteil noch der Hinweis auf das beigelegte (Nennung Beweismittel), in welchem die (Nennung Person) die Meinung vertritt, dass eine illegale Ausreise nach wie vor eine Bestrafung der betroffenen Person nach sich ziehe, sind geeignet, bezüglich der zitierten Gerichtspraxis zu einer anderen Erkenntnis zu führen.</w:t>
      </w:r>
    </w:p>
    <w:p>
      <w:r>
        <w:rPr>
          <w:b/>
        </w:rPr>
        <w:t>E. 6.4</w:t>
      </w:r>
    </w:p>
    <w:p>
      <w:r>
        <w:t>Die Beschwerdeführerin konnte insgesamt keine relevante Verfolgungsgefahr im Sinne von Art. 3 respektive Art. 54 AsylG für sich oder ihr Kind dartun. Das SEM hat daher zu Recht die Flüchtlingseigenschaft verneint.</w:t>
      </w:r>
    </w:p>
    <w:p>
      <w:r>
        <w:rPr>
          <w:b/>
        </w:rPr>
        <w:t>E. 7</w:t>
      </w:r>
    </w:p>
    <w:p>
      <w:r>
        <w:t>Gemäss Art. 44 AsylG verfügt das SEM in der Regel die Wegweisung aus der Schweiz, wenn es das Asylgesuch ablehnt oder nicht darauf eintritt. Die Beschwerdeführerin und ihr Kind verfügen weder über eine ausländerrechtliche Aufenthaltsbewilligung noch über einen Anspruch auf Erteilung einer solchen. (vgl. BVGE 2013/37 E. 4.4).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8.2.1</w:t>
      </w:r>
    </w:p>
    <w:p>
      <w:r>
        <w:t>Nach Art. 83 Abs. 3 AIG ist der Vollzug nicht zulässig, wenn völkerrechtliche Verpflichtungen der Schweiz einer Weiterreise der Ausländerin oder des Ausländers in den Heimat-, Herkunfts- oder einen Drittstaat entgegenstehen. Vorliegend kommt den Beschwerdeführenden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Gemäss Art. 25 Abs. 3 BV, Art. 3 FoK und Art. 3 EMRK darf niemand der Folter oder unmenschlicher oder erniedrigender Strafe oder Behandlung unterworfen werden.</w:t>
      </w:r>
    </w:p>
    <w:p>
      <w:r>
        <w:rPr>
          <w:b/>
        </w:rPr>
        <w:t>E. 8.2.3</w:t>
      </w:r>
    </w:p>
    <w:p>
      <w:r>
        <w:t>Das Bundesverwaltungsgericht klärte im Grundsatzurteil BVGE 2018 VI/4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Die Bedingungen im Nationaldienst seien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8.2.4</w:t>
      </w:r>
    </w:p>
    <w:p>
      <w:r>
        <w:t>Gemäss Praxis des Europäischen Gerichtshofes für Menschen-rechte (EGMR) müssten die Beschwerdeführenden mit Blick auf Art. 3 EMRK eine konkrete Gefahr ("real risk") nachweisen oder glaubhaft machen, dass ihnen im Fall einer Rückschiebung Folter oder unmenschliche Behandlung drohen würde (vgl. EGMR [Grosse Kammer], Saadi gegen Italien, Urteil vom 28. Februar 2008, Nr. 37201/06, §§ 124-127 m.w.H.). Im BVGE 2018 VI/4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8.2.5</w:t>
      </w:r>
    </w:p>
    <w:p>
      <w:r>
        <w:t>Aus den Akten ergeben sich keine weiteren Gründe für die Annahme der Unzulässigkeit des Wegweisungsvollzugs. Der Wegweisungsvollzug ist folglich als zulässig zu betrachten.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8.3.2</w:t>
      </w:r>
    </w:p>
    <w:p>
      <w:r>
        <w:t>Die drohende Einziehung in den eritreischen Nationaldienst führt mangels einer hinreichend konkreten Gefährdung auch nicht generell zur Feststellung der Unzumutbarkeit des Wegweisungsvollzugs gemäss Art. 83 Abs. 4 AIG (vgl. BVGE 2018 VI/4 E. 6.2). Umstände, weshalb dies im Falle der Beschwerdeführerin anders sein sollte, sind nicht ersichtlich.</w:t>
      </w:r>
    </w:p>
    <w:p>
      <w:r>
        <w:rPr>
          <w:b/>
        </w:rPr>
        <w:t>E. 8.3.3</w:t>
      </w:r>
    </w:p>
    <w:p>
      <w:r>
        <w:t>Nach aktueller Rechtsprechung kann in Eritrea nicht von einem Krieg, Bürgerkrieg oder einer Situation allgemeiner Gewalt beziehungsweise einer generellen Unzumutbarkeit des Wegweisungsvollzugs ausgegangen werden. Seit geraumer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8.3.4</w:t>
      </w:r>
    </w:p>
    <w:p>
      <w:r>
        <w:t>Es liegen keine Anhaltspunkte und somit keine besonderen Umstände vor, wonach die Beschwerdeführerin und ihr Kind aus individuellen Gründen in Eritrea einer existenzbedrohenden Situation ausgesetzt wären. Die Beschwerdeführerin verfügt über eine (Nennung Dauer) Schulbildung und diverse Arbeitserfahrung (vgl. act. A6/14, S. 5; A12/22, S. 8, 10 und 20) sowie über ein familiäres und persönliches Beziehungsnetz, das sie und ihr Kind bei ihrer sozialen und wirtschaftlichen Wiedereingliederung unterstützen kann, zumal sie schon bei ihrer Ausreise finanziell unterstützt wurde (vgl. act. A6/14, S. 6 f.; A12/22, S. 3 und 12, F110 ff.). Die auf Beschwerdeebene geäusserten Bedenken stellen sich als blosse Mutmassungen dar und vermögen die sich auf die Akten stützenden obigen Ausführungen sowie die weitergehenden einlässlichen Erörterungen der Vor-instanz im angefochtenen Entscheid nicht umzustossen (vgl. act. A18/11, S. 8 f.). Angesichts des offenbar bestehenden Kontakts zu den Familienangehörigen vermag auch die langjährige Landesabwesenheit der Beschwerdeführerin kein Wegweisungsvollzugshindernis darzustellen. Auch das Kindeswohl führt zu keiner anderen Annahme. Nach geltender Rechtsprechung sind bei der Auslegung von Art. 83 Abs. 4 AlG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Angesichts des Alters des (...)jährigen Kindes ist davon auszugehen, dass die Hauptbezugsperson seine Mutter ist. Es halten sich in Eritrea weitere Familienangehörige der Beschwerdeführerin und ihres Kindes auf (vgl. act. A6/11 Pt. 3.01). Vor diesem Hintergrund spricht auch das Kindeswohl nicht gegen die Zumutbarkeit (vgl. dazu Urteil des BVGer D-5328/2016 vom 25. März 2019 E. 7.3.3). Der Vollzug der Wegweisung erweist sich somit auch in individueller Hinsicht als zumutbar. Die übrigen Beschwerdevorbringen sind nicht geeignet, eine Änderung dieser Einschätzung zu bewirken, weshalb nicht weiter darauf einzugehen ist.</w:t>
      </w:r>
    </w:p>
    <w:p>
      <w:r>
        <w:rPr>
          <w:b/>
        </w:rPr>
        <w:t>E. 8.4</w:t>
      </w:r>
    </w:p>
    <w:p>
      <w:r>
        <w:t>Die zwangsweise Rückführung nach Eritrea ist generell nicht möglich. Die Möglichkeit der freiwilligen Rückkehr steht aber praxisgemäss der Feststellung der Unmöglichkeit des Wegweisungsvollzugs im Sinne von Art. 83 Abs. 2 AIG entgegen. Es obliegt demnach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praxisgemäss auf insgesamt Fr. 750.- festzusetzen (Art. 1-3 des Reglements vom 21. Februar 2008 über die Kosten und Entschädigungen vor dem Bundesverwaltungsgericht [VGKE, SR 173.320.2]). Der am 14. Februar 2020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