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D-6673/2012 vom 23. April 2013</w:t>
      </w:r>
    </w:p>
    <w:p>
      <w:r>
        <w:t>Bundesverwaltungsgericht, 2013-04-23, DE</w:t>
      </w:r>
    </w:p>
    <w:p>
      <w:r>
        <w:rPr>
          <w:b/>
        </w:rPr>
        <w:t xml:space="preserve">Quelle: </w:t>
      </w:r>
      <w:r>
        <w:t>https://mcp.opencaselaw.ch/entscheid/bvger_D-6673_2012</w:t>
      </w:r>
    </w:p>
    <w:p>
      <w:r>
        <w:t>FR: TAF D-6673/2012 du 23 avril 2013</w:t>
      </w:r>
    </w:p>
    <w:p>
      <w:r>
        <w:t>IT: TAF D-6673/2012 del 23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Der Beschwerdeführer beantragte in der Replik vom 19. Februar 2013 die Einräumung einer zusätzlichen Frist zur Untermauerung der Echtheit des eingereichten Identitätsdokuments beziehungsweise die Berücksichtigung einer weiteren Eingabe im Rahmen von Art. 32 Abs. 2 VwVG. Eine solche Eingabe ist indes nicht eingegangen. Ohnehin lässt sich im vorliegenden Fall die Glaubhaftigkeit seiner Vorbringen auch ohne weitere diesbezügli­che Eingaben schlüssig beurteilen, weshalb keine Fristansetzung erfolgte (vgl. Art. 33 Abs. 1 VwVG).</w:t>
      </w:r>
    </w:p>
    <w:p>
      <w:r>
        <w:rPr>
          <w:b/>
        </w:rPr>
        <w:t>E. 5.1</w:t>
      </w:r>
    </w:p>
    <w:p>
      <w:r>
        <w:t>Es erscheint nicht als ausgeschlossen, dass der Beschwerdeführer in seinem Heimatland beispielsweise wegen eines Verwandten polizeilich kon­taktiert oder sogar vorübergehend festgehalten wurde. Eine zielgerich­tete behördliche Suche aus politischen Gründen und damit eine asylrelevante Verfolgung vermochte er demgegenüber nicht glaubhaft zu machen.</w:t>
      </w:r>
    </w:p>
    <w:p>
      <w:r>
        <w:rPr>
          <w:b/>
        </w:rPr>
        <w:t>E. 5.2</w:t>
      </w:r>
    </w:p>
    <w:p>
      <w:r>
        <w:t>So fällt auf, dass seine Angaben zur MLC ausgesprochen dürftig ausge­fallen sind (A 20/13 Antworten 25 ff.). Da er aber geltend macht, in die­sem Zusammenhang namentlich wegen D._______ verfolgt worden zu sein, hät­ten von ihm im Sinne der zutreffenden vorinstanzlichen Erwägungen auch in Anbetracht eines allfällig erst kürzlich erfolgten Beitritts detaillierte und nachvollziehbare Aussagen zur Bewegung erwartet werden können, sollte er tatsächlich mit ihr behördlich in Verbindung gebracht worden sein. Im Weiteren sind die vom BFM festgestellten Ungereimtheiten im Zu­sammenhang mit der genauen Bezeichnung eines Verwandten und dem zeitlichen Ablauf des Schicksals von D._______ im Sinne gewisser Beschwer­de­vorbringen möglicherweise nicht zentral für die Feststellung der Unglaubhaftigkeit der vorgebrachten behördlichen Verfolgung; die Erklä­rung des Beschwerdeführers, die letzte Begegnung mit D._______, dessen Festnahme und dessen Flucht aus dem Gefängnis hätten sich am selben Datum ereignet, mutet indes gleichwohl reichlich konstruiert an. Klarer­weise nicht nachvollzogen werden kann sodann die Aussage, ein MLC-Mit­glied habe sich als Arzt ausgegeben, um ihn aus dem behördlichen Ge­wahrsam zu befreien: Denn selbst wenn er im Sinne seiner Aussagen tat­sächlich ein bescheidenes Engagement für diese Bewegung entfaltet hätte, wäre nicht einleuchtend, weshalb sich ein MLC-Verantwortlicher aus­gerechnet für ihn als Person ohne jegliche Markanz im politischen Pro­fil eingesetzt haben sollte. Bezeichnenderweise sind seine Schilderun­gen zur Flucht aus dem Spital und den Ereignissen in F._______ ausge­sprochen stereotyp aus­gefallen und erwecken in keiner Weise den Ein­druck von tatsächlich Er­lebtem oder Befürchtetem (A 20/13 Antworten 8 ff.). Weitere Beschwerdevorbringen, welche sich auch auf die allgemeine Situation vor Ort beziehen, vermögen mangels Stichhaltigkeit ebenfalls keine konkret drohen­de Verfolgung aus asylrelevanten Motiven glaubhaft zu machen. Aus dem eingereichten Presseartikel kann der Beschwerdefüh­rer nichts zu seinen Gunsten ableiten. Schliesslich ist nach dem Gesagten auch nicht glaubhaft, dass er durch die Familie des an­geblich erschossenen Kollegen aus den geltend gemachten Gründen verfolgt wird.</w:t>
      </w:r>
    </w:p>
    <w:p>
      <w:r>
        <w:rPr>
          <w:b/>
        </w:rPr>
        <w:t>E. 5.3</w:t>
      </w:r>
    </w:p>
    <w:p>
      <w:r>
        <w:t>Unter Berücksichtigung der gesamten Umstände folgt, dass der Be­schwerdeführer keine Gründe nach Art. 3 AsylG nachweisen oder glaub­haft machen konnte. Die Vorinstanz hat die Flücht­lingseigen­schaft zu Recht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entgegen den Beschwerdevor­bringen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Hinsichtlich der allgemeinen Situation in Kongo (C._______) kann auf die detaillierte, in Entscheidungen und Mitteilungen der Schweizerischen Asylrekurskommission (EMARK) 2004 Nr. 33 E. 8.1 - 8.3 S. 232 ff. publi­zierte Lageanalyse verwiesen werden, welche das Bundesverwaltungsge­richt als im Wesentlichen weiterhin zutreffend erach­tet (vgl. diesbezüglich beispielsweise Urteile des Bundesverwaltungs­gerichts E-1177/2010 vom 24. März 2010, D-565/2012 vom 8. Februar 2012, E-1495/2012 vom 18. Dezember 2012 und D-2328/2012 vom 11. Februar 2013). Demnach erweist sich er Voll­zug der Wegweisung in dieses Land nicht als generell unzumutbar.</w:t>
      </w:r>
    </w:p>
    <w:p>
      <w:r>
        <w:rPr>
          <w:b/>
        </w:rPr>
        <w:t>E. 7.4.3</w:t>
      </w:r>
    </w:p>
    <w:p>
      <w:r>
        <w:t>Der Beschwerdeführer lebte in C._______, verfügt über eine gute Schul­bildung, ein Diplom als Mechaniker und Arbeitserfahrung im Strassen­­handel. Zudem dürften vor Ort nach wie vor soziale Anknüpfungs­punkte bestehen. Überzeugende Beschwerdeargumente für eine andere Sichtweise fehlen. Entsprechend ist nicht davon auszuge­hen, er gerate nach der Rückkehr in eine existenzgefährdende Situation.</w:t>
      </w:r>
    </w:p>
    <w:p>
      <w:r>
        <w:rPr>
          <w:b/>
        </w:rPr>
        <w:t>E. 7.4.4</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Beschwerdeverfahrens wären dessen Kosten dem Beschwerdeführer aufzuerlegen (Art. 63 Abs. 1 VwVG). Das Bundes­verwaltungsgericht hat jedoch das Gesuch um Gewährung der un­ent­geltlichen Prozessführung im Sinne von Art. 65 Abs. 1 VwVG mit In­struk­tionsverfügung vom 17. Januar 2013 gutgeheissen; es besteht auf­grund der Akten kein Anlass, auf diesen Entscheid zurückzukommen.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