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D-6665/2016 vom 8. November 2016</w:t>
      </w:r>
    </w:p>
    <w:p>
      <w:r>
        <w:t>Bundesverwaltungsgericht, 2016-11-08, DE</w:t>
      </w:r>
    </w:p>
    <w:p>
      <w:r>
        <w:rPr>
          <w:b/>
        </w:rPr>
        <w:t xml:space="preserve">Quelle: </w:t>
      </w:r>
      <w:r>
        <w:t>https://mcp.opencaselaw.ch/entscheid/bvger_D-6665_2016</w:t>
      </w:r>
    </w:p>
    <w:p>
      <w:r>
        <w:t>FR: TAF D-6665/2016 du 8 novembre 2016</w:t>
      </w:r>
    </w:p>
    <w:p>
      <w:r>
        <w:t>IT: TAF D-6665/2016 del 8 novembre 2016</w:t>
      </w:r>
    </w:p>
    <w:p>
      <w:pPr>
        <w:pStyle w:val="Heading2"/>
      </w:pPr>
      <w:r>
        <w:t>Regeste</w:t>
      </w:r>
    </w:p>
    <w:p>
      <w:r>
        <w:t>Flughafenverfahren (Asyl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 wenn auch unter Verweis auf den hier nicht anwendbaren Art. 66 Abs. 2 Bst. a VwVG (vgl. Art. 45 VGG) - den Revisionsgrund des Vorliegens neuer Beweismittel im Sinne von Art. 123 Abs. 2 Bst. a BGG geltend und zeigt ausserdem die Rechtzeitigkeit des Revisionsbegehrens auf. Auf das frist- und formgerecht eingereichte Revisionsgesuch ist deshalb einzutreten. 3.1 Der Gesuchsteller rügt in seinem Gesuch vorab eine Verletzung des rechtlichen Gehörs. Weil die Einzelrichterin geglaubt habe, das Rechtsmittel sei bloss zum Zeitgewinn eingereicht worden, habe sie ein Urteil gefällt, ohne die in Aussicht gestellten Beweismittel abzuwarten. Im Weiteren habe sie die Beweismittel als untauglich gewürdigt, bevor sie eingetroffen seien. Dies sei nicht sachlich und erscheine willkürlich. 3.2 Vorauszuschicken ist, dass die Rüge der Gehörsverletzung kein Revisionsgrund ist, weshalb darauf nicht einzutreten ist (vgl. BVGE 2015/20). Im Übrigen ist eine antizipierte Beweiswürdigung zulässig, wenn das Gericht den rechtserheblichen Sachverhalt für genügend geklärt hält und überzeugt ist, seine rechtliche Überzeugung würde durch weitere Beweiserhebungen nicht geändert (Moser/Beusch/Kneubühler, Prozessieren vor dem Bundesverwaltungsgericht, 2. Aufl. 2013, S. 208 Rz. 3.144). Die Einzelrichterin hielt den Sachverhalt vorliegend aufgrund der Akten zu Recht für genügend geklärt.</w:t>
      </w:r>
    </w:p>
    <w:p>
      <w:r>
        <w:rPr>
          <w:b/>
        </w:rPr>
        <w:t>E. 4.1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BVGE 2013/22).</w:t>
      </w:r>
    </w:p>
    <w:p>
      <w:r>
        <w:rPr>
          <w:b/>
        </w:rPr>
        <w:t>E. 4.2</w:t>
      </w:r>
    </w:p>
    <w:p>
      <w:r>
        <w:t>Bei den im Revisionsbegehren geltend gemachten Beweismitteln muss es sich zudem um "entscheidende Beweismittel" handeln.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Handbücher für die Anwaltspraxis, Band X, Basel 2013, Rz. 5.48, S. 307).</w:t>
      </w:r>
    </w:p>
    <w:p>
      <w:r>
        <w:rPr>
          <w:b/>
        </w:rPr>
        <w:t>E. 4.3</w:t>
      </w:r>
    </w:p>
    <w:p>
      <w:r>
        <w:t>Die vorliegend eingereichten Beweismittel sind im dargelegten Sinne nicht als revisionsrechtlich erheblich zu bewerten, da sie nicht dazu geeignet sind, die im ordentlichen Asyl- respektive Beschwerdeverfahren für unglaubhaft befundenen Asylvorbringen nachträglich glaubhaft zu machen oder gar Beweis darüber zu erbringen und damit zu einem für den Gesuchsteller günstigeren Ergebnis zu führen. Im Urteil vom 20. Oktober 2016 wurde festgestellt, die Vorbringen des Gesuchstellers seien nicht glaubhaft. Dabei wurde auf verschiedene Aspekte des Sachverhaltsvortrages Bezug genommen, wie fehlende Realkennzeichen bei der Beschreibung der Festnahmen, mangelnde Substanziiertheit und Details des angeblich Erlebten und die fehlende Nachvollziehbarkeit der Gefährdungssituation. Der Gesuchsteller habe sodann nur wenig zur Situation des Cousins sagen können, obwohl sich seine Verfolgungssituation allein auf diesen beziehen solle. Auch das Praktikum bei einer staatlichen Einrichtung spreche gegen eine aktuelle Gefährdung und schliesslich entspreche auch das Verhalten vor der Flucht nicht demjenigen einer verfolgten Person. Bereits im Rahmen der Beschwerde in Aussicht gestellte Beweismittel aus dem Heimatstaat wurden vor diesem Hintergrund in antizipierter Beweiswürdigung als unerheblich erklärt. Diese Einschätzung der Sachlage gerät durch die nunmehr neu eingereichten Bestätigungsschreiben aus dem unmittelbaren Umfeld des Gesuchstellers nicht ins Wanken. Die eingereichten Schreiben von der Mutter, von Nachbaren, von einem Parlamentsabgeordneten und von einem Priester, in welchen auf die Gefährdung beziehungsweise die Vorbringen des Gesuchstellers Bezug genommen wird, müssen vielmehr entgegen den Ausführungen im Revisionsgesuch als Gefälligkeitsschreiben qualifiziert werden, welche von geringem Beweiswert sind, da im Wesentlichen bloss die Vorbringen des Gesuchstellers beziehungsweise einzelne Details davon aus Sicht der jeweiligen Person wiederholt werden. Die Schreiben des Priesters und des Parlamentsabgeordneten sind zudem von sehr allgemeinem Charakter und lassen kaum Rückschlüsse auf die Vorbringen des Gesuchstellers zu. In Bezug auf die beantragte Nachprüfung bei den Autoren dieser Schreiben ist darauf hinzuweisen, dass die blosse Aussicht auf noch zu produzierende Beweismittel im Revisionsverfahren nicht zu verfangen mag. Auch weiteren ähnlichen Beweismitteln wird kaum ein höherer Beweiswert zukommen, weshalb deren Einreichung in antizipierender Beweiswürdigung nicht abzuwarten ist. Die weiteren, nicht direkt auf die erwähnten Beweismittel Bezug nehmenden Teile der Revisionsschrift gehen offensichtlich nicht über eine blosse und revisionsrechtlich unbeachtliche appellatorische Kritik an der im Urteil vom 20. Oktober 2016 vorgenommenen Sachverhalts- und Beweiswürdigung hinaus, weshalb darauf im Rahmen eines Revisionsverfahrens nicht weiter einzugehen ist.</w:t>
      </w:r>
    </w:p>
    <w:p>
      <w:r>
        <w:rPr>
          <w:b/>
        </w:rPr>
        <w:t>E. 4.4</w:t>
      </w:r>
    </w:p>
    <w:p>
      <w:r>
        <w:t>Im Revisionsbegehren wird weiter - wiederum unter Verweis auf den hier nicht anwendbaren Art. 66 Abs. 2 Bst. b VwVG (vgl. Art. 45 VGG) - im Sinne von Art. 121 Abs. 2 Bst. a BGG geltend gemacht, die Einzelrichterin hätte nach Erhalt der neuen Beweismittel am 21. Oktober 2016 den am Vortag getroffenen aber noch nicht eröffneten Entscheid von Amtes wegen aufheben und die Sache im Licht der neuen Beweismittel sorgfältig überprüfen müssen. Das Urteil ist vorliegend am 20. Oktober 2016 mit der Unterschrift der zustimmenden Richterin zustande gekommen und ein Zurückkommen von Amtes wegen auf einen bereits ergangenen Entscheid unter den gegebenen Umständen ist im Gesetz nicht vorgesehen. Daran vermag auch die Tatsache nichts zu ändern, dass das Urteil erst am 24. Oktober 2016 versandt wurde.</w:t>
      </w:r>
    </w:p>
    <w:p>
      <w:r>
        <w:rPr>
          <w:b/>
        </w:rPr>
        <w:t>E. 5</w:t>
      </w:r>
    </w:p>
    <w:p>
      <w:r>
        <w:t>Zusammenfassend ist festzuhalten, dass keine revisionsrechtlich relevanten Gründe dargetan sind. Das Gesuch um Revision des Urteils des Bundesverwaltungsgerichts vom 28. Oktober 2016 ist demzufolge abzuweisen.</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