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D-6655/2012 vom 13. März 2013</w:t>
      </w:r>
    </w:p>
    <w:p>
      <w:r>
        <w:t>Bundesverwaltungsgericht, 2013-03-13, DE</w:t>
      </w:r>
    </w:p>
    <w:p>
      <w:r>
        <w:rPr>
          <w:b/>
        </w:rPr>
        <w:t xml:space="preserve">Quelle: </w:t>
      </w:r>
      <w:r>
        <w:t>https://mcp.opencaselaw.ch/entscheid/bvger_D-6655_2012</w:t>
      </w:r>
    </w:p>
    <w:p>
      <w:r>
        <w:t>FR: TAF D-6655/2012 du 13 mars 2013</w:t>
      </w:r>
    </w:p>
    <w:p>
      <w:r>
        <w:t>IT: TAF D-6655/2012 del 13 marzo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 Frage eines Auslieferungsgesuches stellt sich vorliegend nicht, weil sich die Beschwerdeführerinneninnen in Kolumbien aufhalten, und demnach das Bundesverwaltungsgericht endgültig entscheidet.</w:t>
      </w:r>
    </w:p>
    <w:p>
      <w:r>
        <w:rPr>
          <w:b/>
        </w:rPr>
        <w:t>E. 1.2</w:t>
      </w:r>
    </w:p>
    <w:p>
      <w:r>
        <w:t>Aufgrund des engen persönlichen und sachlichen Zusammenhangs ist das Beschwerdeverfahren der Mutter (D-6655/2012) mit demjenigen der Tochter (D-6653/2012) zu vereinigen. Über beide Beschwerden ist in einem Urteil zu befinden.</w:t>
      </w:r>
    </w:p>
    <w:p>
      <w:r>
        <w:rPr>
          <w:b/>
        </w:rPr>
        <w:t>E. 1.3</w:t>
      </w:r>
    </w:p>
    <w:p>
      <w:r>
        <w:t>Das Verfahren richtet sich nach dem VwVG, dem VGG und dem BGG, soweit das AsylG nichts anderes bestimmt (Art. 37 VGG und Art. 6 AsylG).</w:t>
      </w:r>
    </w:p>
    <w:p>
      <w:r>
        <w:rPr>
          <w:b/>
        </w:rPr>
        <w:t>E. 1.4</w:t>
      </w:r>
    </w:p>
    <w:p>
      <w:r>
        <w:t>Die bei der Vorinstanz eingereichten Unterlagen sind nicht in einer Amtssprache des Bundes abgefasst (vgl. Art. 70 Abs. 1 der Bundesverfassung der Schweizerischen Eidgenossenschaft vom 18. April 1999 [BV, SR 101]). Den Beschwerdeschriften hingegen wurde eine Übersetzung in deutscher Sprache beigelegt. Das Bundesverwaltungsgericht hat aus prozessökonomischen Gründen ohne präjudizielle Wirkung vorliegend im Sinne einer begründeten Ausnahme eine interne Übersetzung der in spanischer Sprache verfassten, wesentlichen Vorakten (Hinweise auf Vorbehalte gegenüber einer Ausreise in Dritt- beziehungsweise Nachbarländer Kolumbiens und auf Beziehungen der Beschwerdeführerinnen zur Schweiz) vorgenommen. Der vorliegende Entscheid ergeht in deutscher Sprache (vgl. Art. 33a Abs. 2 VwVG i.V.m. Art. 37 VGG).</w:t>
      </w:r>
    </w:p>
    <w:p>
      <w:r>
        <w:rPr>
          <w:b/>
        </w:rPr>
        <w:t>E. 1.5</w:t>
      </w:r>
    </w:p>
    <w:p>
      <w:r>
        <w:t>Die Beschwerden sind frist- und formgerecht eingereicht. Die Beschwerdeführerinnen haben am Verfahren vor der Vorinstanz teilgenommen, sind durch die angefochtenen Verfügungen besonders berührt und haben ein schutzwürdiges Interesse an deren Aufhebungen beziehungsweise Änderungen. Sie sind daher zur Einreichung der Beschwerden legitimiert (Art. 105 und Art. 108 Abs. 1 AsylG, Art. 48 Abs. 1 sowie Art. 52 VwVG). Auf die Beschwerden ist einzutreten.</w:t>
      </w:r>
    </w:p>
    <w:p>
      <w:r>
        <w:rPr>
          <w:b/>
        </w:rPr>
        <w:t>E. 1.6</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3.2</w:t>
      </w:r>
    </w:p>
    <w:p>
      <w:r>
        <w:t>Gemäss Art. 19 AsylG kann ein Asylgesuch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Allerdings kann sich eine Befragung beziehungsweise eine schriftliche Sachverhaltsabklärung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Sodann ist das Bundesamt in jedem Fall gehalten, den Verzicht auf eine Befragung in der anfechtbaren Verfügung zu begründen (BVGE a.a.O. E. 5.6 sowie 5.7).</w:t>
      </w:r>
    </w:p>
    <w:p>
      <w:r>
        <w:rPr>
          <w:b/>
        </w:rPr>
        <w:t>E. 3.3</w:t>
      </w:r>
    </w:p>
    <w:p>
      <w:r>
        <w:t>Die Beschwerdeführerinnen wurden von der Vertretung in Bogotá nicht mündlich befragt. Sie legten ihre Vorbringen in den Asylgesuchen vom 27. September 2011 und in den folgenden Eingaben vom 10. Oktober 2011 schriftlich dar und dokumentierten sie unter Beifügung zahlreicher Beweismittel. Ausserdem wurde ihnen mit Zwischenverfügungen des BFM vom 17. November 2011 das rechtliche Gehör im Hinblick auf die in Erwägung gezogenen Abweisungen der Gesuche gewährt. Davon machten die Beschwerdeführerinnen mit Eingaben vom 13. Dezember 2011 Gebrauch. Der Verzicht auf eine Befragung wurde in den angefochtenen Verfügungen begründet, weshalb diesbezüglich das Vorgehen des BFM nicht zu beanstanden ist.</w:t>
      </w:r>
    </w:p>
    <w:p>
      <w:r>
        <w:rPr>
          <w:b/>
        </w:rPr>
        <w:t>E. 3.4</w:t>
      </w:r>
    </w:p>
    <w:p>
      <w:r>
        <w:t>Nach Prüfung der Akten fällt auf, dass sämtliche Eingaben und Dokumente der Beschwerdeführerinnen im vorinstanzlichen Verfahren in spanischer Sprache vorliegen. Weder forderte die Vorinstanz die Beschwerdeführerinnen unter Hinweis auf ihre Mitwirkungspflicht auf, für Übersetzungen der Unterlagen besorgt zu sein, noch kümmerte sie sich selbst für die Übersetzung der Unterlagen - und seien es nur deren wesentlichen Passagen - nicht einmal in einer zusammenfassenden Kurzversion; für jemanden, der des Spanischen nicht mächtig ist, ist es unmöglich, sich ein Bild der Akten zu verschaffen. Damit wäre für das Gericht eine sachgerechte Beurteilung des Sachverhaltes und der angefochtenen Verfügungen eigentlich nicht möglich. Aufgrund der einlässlichen ausschliesslich spanischen Ausführungen der Beschwerdeführerinnen in ihren schriftlichen Asylgesuchen und den weiteren Eingaben sowie der zahlreich eingereichten Beweismittel könnte der Sachverhalt - wie das BFM in den angefochtenen Verfügungen ausführt - als erstellt betrachtet werden. Indessen lässt sich in keiner Art nachvollziehen, aufgrund welcher Überlegungen das BFM in diesen ausschliesslich spanischsprachigen Gesuchen seine Meinung bilden konnte beziehungsweise die materiellen Entscheide ergehen konnten.</w:t>
      </w:r>
    </w:p>
    <w:p>
      <w:r>
        <w:rPr>
          <w:b/>
        </w:rPr>
        <w:t>E. 3.4.1</w:t>
      </w:r>
    </w:p>
    <w:p>
      <w:r>
        <w:t>Die Vorinstanz begründet in materieller Hinsicht ihre abweisenden Verfügungen unter anderem damit, dass die Ausführungen der Beschwerdeführerinnen zur geltend gemachten Bedrohung durch Angehörige der FARC-EP (Handlungen Dritter) nicht relevant im Sinne des Asylgesetzes seien und sie dementsprechend nicht des Schutzes der Schweizer Behörden bedürften, da ihnen die Inanspruchnahme einer innerstaatlichen Fluchtalternative (Wohnsitzwechsel) zumutbar sei. Das Gericht teilt diese Einschätzung indessen nicht. Die Beschwerdeführerinnen zeigten die Schwierigkeiten der Inanspruchnahme einer innerstaatlichen Fluchtalternative oder des Umzugs in ein anderes Land in ihren Stellungnahmen nachvollziehbar auf (u.a. operiere die FARC in ganz Kolumbien und sei auch in anderen Ländern Latein- und Südamerikas vertreten). Ebenso erfährt der Umstand, dass sie sich nicht an die Behörden gewandt haben, um Schutz zu erhalten, letztlich eine verständliche Begründung. So soll gemäss dem Sohn/Bruder der Beschwerdeführerinnen von Beamten der Staatsanwaltschaft zugetragen worden sein, dass FARC-Mitglieder sowohl bei der Staatsanwaltschaft als auch in anderen staatlichen Einrichtungen eingeschleust worden seien. Es ist daher verständlich, dass die - mit Ausnahme der Mutter - ihre Berufe aufgrund der Ausbildung in nicht unsensiblen Staatsdienstbereichen ausübenden Familienmitglieder von einer Anzeigeerstattung abgesehen haben. Die Feststellung des BFM, wonach die zuletzt in E._______ im Departement F._______ wohnhaft gewesenen Beschwerdeführerinnen aus Sicherheitsgründen nach C._______ umgezogen seien (Sachverhalt), erweist sich zudem als unzutreffend. Die diesbezüglich in der Beschwerde zu Recht erhobene Rüge ergibt sich zweifelsfrei aus den von den Beschwerdeführerinnen bei der Vorinstanz eingereichten, nicht übersetzten Unterlagen. Insgesamt betrifft dieser Umstand aber ein Sachverhaltselement von untergeordneter Bedeutung, welches keinen Einfluss auf das vorliegende Urteil auszuüben vermag.</w:t>
      </w:r>
    </w:p>
    <w:p>
      <w:r>
        <w:rPr>
          <w:b/>
        </w:rPr>
        <w:t>E. 3.4.2</w:t>
      </w:r>
    </w:p>
    <w:p>
      <w:r>
        <w:t>Für die Beurteilung der Flüchtlingseigenschaft ist ferner nach der aktuell vorhandenen Furcht zu fragen und dabei zu prüfen, ob die Furcht vor einer absehbaren Verfolgung besteht und begründet ist. Eine Verfolgung beziehungsweise eine begründete Furcht vor künftiger Verfolgung auf dem ganzen Gebiet Kolumbiens muss grundsätzlich im Zeitpunkt des Asylentscheids aktuell sein. Aus dem verfassungsmässigen Anspruch auf das rechtliche Gehör (vgl. Art. 29 Abs. 2 BV) ergibt sich zwar noch keine Pflicht der Behörden, zu allen im Verfahren vorgetragenen Elementen ausführlich Stellung zu nehmen; die Behörden dürfen sich bei der Begründung auf die für den Entscheid wesentlichen Gesichtspunkte beschränken. Der Untersuchungsgrundsatz betrifft die richtige und vollständige Feststellung des rechtserheblichen Sachverhaltes der Streitsache. Er fordert aber dort eine eingehende Amtsermittlung, wo es sachverhaltsgerecht erscheint. Die urteilende Instanz soll somit in eigener Verantwortung beweismässig die tatsächlichen Geschehnisse und Gegebenheiten (Urteilsgrundlagen) ermitteln, aus denen sich die Rechtsfolgen ergeben (vgl. dazu Fritz Gygi, Bundesverwaltungsrechtspflege, 2. Aufl., Bern 1983, S. 206).</w:t>
      </w:r>
    </w:p>
    <w:p>
      <w:r>
        <w:rPr>
          <w:b/>
        </w:rPr>
        <w:t>E. 3.5.1</w:t>
      </w:r>
    </w:p>
    <w:p>
      <w:r>
        <w:t>Die Verletzung der Feststellung des richtigen rechtserheblichen Sachverhaltes respektive die daraus resultierende Verletzung des Anspruch auf rechtliches Gehör hat ihren Grund darin, dass die von den Beschwerdeführerinnen im vorinstanzlichen Verfahren eingereichten Unterlagen nicht in eine Amtssprache übersetzt wurden, und folglich auf einer unsorgfältigen Verfahrensführung beruht.</w:t>
      </w:r>
    </w:p>
    <w:p>
      <w:r>
        <w:rPr>
          <w:b/>
        </w:rPr>
        <w:t>E. 3.5.2</w:t>
      </w:r>
    </w:p>
    <w:p>
      <w:r>
        <w:t>Es stellt sich die Frage, ob die festgestellte Verletzung geheilt werden kann oder ob die angefochtenen Verfügungen kassiert werden müssen. Das BFM ist aufgrund der gesetzlichen Bestimmungen gehalten, das rechtliche Gehör zu gewähren. Die Aufhebung einer Verfügung des Bundesamtes, welche ohne Einhaltung dieser Verfahrensvorschrift zustande gekommen ist, erscheint dennoch nicht in jedem Fall zwingend (zur Praxis des Bundesverwaltungsgerichts betreffend die Frage der Heilung von Verfahrensmängeln siehe BVGE 2007/30 E. 8.2 und im gleichen Sinne auch BVGE 2007/27 E. 10.1, wobei gemäss letzterem Entscheid eine Heilung die Ausnahme bleiben soll),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 Zudem sind in den Fällen von Art. 30 Abs. 2 VwVG weitere Ausnahmen denkbar, namentlich wenn beispielsweise Gefahr im Verzug ist (Art. 30 Abs. 2 Bst. e VwVG).</w:t>
      </w:r>
    </w:p>
    <w:p>
      <w:r>
        <w:rPr>
          <w:b/>
        </w:rPr>
        <w:t>E. 3.5.3</w:t>
      </w:r>
    </w:p>
    <w:p>
      <w:r>
        <w:t>Das BFM gab den Beschwerdeführerinnen die Gelegenheit, sich zum absehbaren negativen Entscheid zu äussern. Gleichzeitig geht aus den angefochtenen Verfügungen hervor, dass die Vorinstanz darauf hinwies, dass die zu den Akten gereichten Dokumente am Ausgang des Verfahrens nichts zu ändern vermöchten (s. dort Abschnitt II, Ziff. 3). Aufgrund der Art und des Inhalts der Beweismittel sowie des Umstandes, dass von den Beschwerdeführerinnen in diesem Zusammenhang keine weitergehenden Ausführungen in der Rechtsmitteleingabe gemacht wurden, sind die vom BFM in der Tat pauschal gezogenen Schlussfolgerungen schliesslich nicht zu beanstanden. Sodann konnten die Beschwerdeführerinnen zu ihren Beziehungen zur Schweiz und in Bezug auf allfällige Vorbehalte gegen einen Wegzug in eine andere Provinz Kolumbiens respektive in eines der Nachbarländer mehrmals und ausreichend Stellung nehmen. Der rechtserhebliche wesentliche Sachverhalt erscheint, namentlich auch aufgrund der auf Beschwerdestufe eingeholten Übersetzungen (vgl. E. 1.4 hiervor), somit als erstellt. Die mehrfachen Gelegenheiten, ihre Argumente ausführlich darzulegen, nahmen die Beschwerdeführerinnen zuletzt in ihren inhaltlich identischen und grundsätzlich einen unveränderten Sachverhalt beschlagenden Beschwerdeschriften wahr. Bei dieser Sachlage besteht kein Anlass zu weitergehenden Sachverhaltsabklärungen. Es ist davon auszugehen, dass selbst nach Kassation der angefochtenen Verfügungen und der Durchführung eines Schriftenwechsels der bereits bekannte oder ein kaum veränderter Sachverhalt zur Neubeurteilung durch die Vorinstanz anstehen würde. Demnach ist nicht erkennbar, dass den Beschwerdeführerinnen durch einen materiellen Entscheid im jetzigen Zeitpunkt ein Nachteil erwachsen würde.</w:t>
      </w:r>
    </w:p>
    <w:p>
      <w:r>
        <w:rPr>
          <w:b/>
        </w:rPr>
        <w:t>E. 3.5.4</w:t>
      </w:r>
    </w:p>
    <w:p>
      <w:r>
        <w:t>Aufgrund der aktuellen Aktenlage besteht für die Beschwerdeführerinnen somit bloss in formellem Sinne Aussicht auf Erfolg; in materieller Hinsicht sind ihre Begehren hingegen als aussichtslos zu qualifizieren. Es rechtfertigt sich daher, ihre Gesuche auf der Grundlage des bekannten Sachverhalts materiell endgültig zu beurteilen. Mit diesem Vorgehen wird auch bezweckt, dass die Beschwerdeführerinnen an ihrem Wohnort wegen der hängigen Verfahren in der Schweiz nicht unnötig lange Zeit möglicherweise grösseren Gefahren und Risiken ausgesetzt sind (Art. 30 Abs. 2 Bst. e VwVG). Das Bundesverwaltungsgericht, das in Sachverhalts- und Rechtsfragen volle Kognition hat, kommt vorliegend zum Schluss, dass die Interessen der Beschwerdeführerinnen an einem schnellen materiellen Entscheid wegen der nicht zu unterschätzenden Gefährdungslage höher zu gewichten sind als ihre Interessen an der Abwicklung eines in formeller Hinsicht völlig fehlerfreien erstinstanzlichen Verfahrens (Kassation der angefochtenen Verfügungen, Rückversetzung in das erstinstanzliche Verfahren, Behebung des formellen Mangels durch die Vorinstanz, ungewisses Datum der neuen Entscheide durch die Vorinstanz). Zudem wären, wie vorstehend schon erwähnt, wohl (neue) erstinstanzliche Verfahren zu erwarten, die wegen unveränderter materieller Sachlage mit grösster Wahrscheinlichkeit wiederum zur Verweigerung der Einreise in die Schweiz und zur Abweisung der Asylgesuche führen würden. Im Sinne einer aufgrund des vorliegenden Sachverhalts begründeten Ausnahme ist daher - ohne präjudizielle Wirkung - in materieller Hinsicht zu prüfen, ob das BFM den Beschwerdeführerinnen zu Recht die Einreise in die Schweiz verwehrte und ihre Asylgesuche abwies.</w:t>
      </w:r>
    </w:p>
    <w:p>
      <w:r>
        <w:rPr>
          <w:b/>
        </w:rPr>
        <w:t>E. 4.1</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BVGE 2011/10 E.3.3 m.w.H).</w:t>
      </w:r>
    </w:p>
    <w:p>
      <w:r>
        <w:rPr>
          <w:b/>
        </w:rPr>
        <w:t>E. 4.3</w:t>
      </w:r>
    </w:p>
    <w:p>
      <w:r>
        <w:t>Das Bundesverwaltungsgericht gelangt zunächst zum Schluss, dass grundsätzlich nicht davon ausgegangen werden kann, der kolumbianische Staat verfüge über eine funktionierende und effiziente Schutzinfrastruktur, insbesondere über einen funktionierenden Polizeiapparat sowie über ein Rechts- und Justizsystem (vgl. Bericht des Human Rights Council vom 12. September 2011 "[...] those who take up leadership roles in the search of justice are frequently targeted by the guerillas, neo-paramilitaries and state actors. Unfortunately, those responsible for these violations are rarely brought to justice perpetuating a culture of impunity [...]". Aufgrund der von den Beschwerdeführerinnen geltend gemachten Bedrohung durch Angehörige der FARC-EP kann nicht leichthin davon ausgegangen werden, sie könnten sich in einer anderen Region innerhalb Kolumbiens möglichen Übergriffen dieser Personen entziehen. Dennoch kann die Einschätzung der Vorinstanz bezüglich der akuten, unmittelbaren Gefahr, der die Beschwerdeführerinnen in Kolumbien ausgesetzt sind, geteilt werden. Aufgrund der Akten besteht nämlich kein Anlass zur Annahme, es handle sich bei ihnen um bekannte Persönlichkeiten, welche aufgrund einer exponierten Stellung gegebenenfalls auch über die Landesgrenzen hinaus mit Nachstellungen zu rechnen hätten.</w:t>
      </w:r>
    </w:p>
    <w:p>
      <w:r>
        <w:rPr>
          <w:b/>
        </w:rPr>
        <w:t>E. 4.4</w:t>
      </w:r>
    </w:p>
    <w:p>
      <w:r>
        <w:t>Die Vorinstanz stellte ferner zutreffend fest, die Beschwerdeführerinnen hätten in ihren Gesuchen keine besonders nahen Beziehungen zur Schweiz geltend gemacht. Dieser Sachverhaltsumstand ist denn auch unbestritten. Im Weiteren erwog das BFM zu Recht, dass es den Beschwerdeführerinnen bei dieser Sachlage nach konstanter Rechtsprechung zuzumuten sei, in einem anderen, Kolumbien geografisch, kulturell und sprachlich näher liegenden südamerikanischen Land um Asylgewährung nachzusuchen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Beschwerdeführerinnen praktisch unmöglich oder objektiv unzumutbar, sich in einen anderen Staat - insbesondere in einen der Nachbarstaaten Kolumbiens - zu begeben (vgl. EMARK 2004 Nr. 20 und 1997 Nr. 15).</w:t>
      </w:r>
    </w:p>
    <w:p>
      <w:r>
        <w:rPr>
          <w:b/>
        </w:rPr>
        <w:t>E. 4.5</w:t>
      </w:r>
    </w:p>
    <w:p>
      <w:r>
        <w:t>Bei dieser Sachlage kann letztlich offen bleiben, ob die Beschwer­deführerinnen in Kolumbien tatsächlich einer Verfolgung im Sinne von Art. 3 AsylG ausgesetzt sind oder sich allenfalls den geltend gemachten Drohungen seitens der Verfolger durch eine innerstaatliche Wohnsitzverlegung dauerhaft entziehen könnten.</w:t>
      </w:r>
    </w:p>
    <w:p>
      <w:r>
        <w:rPr>
          <w:b/>
        </w:rPr>
        <w:t>E. 4.6</w:t>
      </w:r>
    </w:p>
    <w:p>
      <w:r>
        <w:t>Nach dem Gesagten ist zusammenfassend festzuhalten, dass die Beschwerdeführerinnen aufgrund der Akten über keine konkrete Beziehungsnähe zur Schweiz verfügen, hingegen die Möglichkeit der anderweitigen Schutzsuche haben. Unter diesen Umständen hat die Vorinstanz gestützt auf das Subsidiaritätsprinzip den Beschwerdeführerinnen zu Recht die Erteilung einer Einreisebewilligung verweigert und die Asylgesuche abgewiesen.</w:t>
      </w:r>
    </w:p>
    <w:p>
      <w:r>
        <w:rPr>
          <w:b/>
        </w:rPr>
        <w:t>E. 5</w:t>
      </w:r>
    </w:p>
    <w:p>
      <w:r>
        <w:t>Aus diesen Erwägungen ergibt sich, dass die angefochtenen Verfügungen bezüglich der unrichtigen Feststellung des rechterheblichen Sachverhalts respektive der daraus resultierenden Verletzung des rechtlichen Gehörs Bundesrecht zwar verletzen. Das Bundesverwaltungsgericht kommt aber zum Schluss, dass vorliegend aufgrund der speziellen Situation schnelle materielle Entscheide höher zu gewichten sind als (sich zwangsläufig über eine gewisse Zeit hinziehende) Kassationsverfahren. Der rechtserhebliche Sachverhalt steht korrekt und vollständig fest und die angefochtenen Verfügungen erweisen sich im Ergebnis damit als angemessen (Art. 106 Abs. 1 AsylG). Die Beschwerden sind nach dem Gesagten abzuweisen.</w:t>
      </w:r>
    </w:p>
    <w:p>
      <w:r>
        <w:rPr>
          <w:b/>
        </w:rPr>
        <w:t>E. 6</w:t>
      </w:r>
    </w:p>
    <w:p>
      <w:r>
        <w:t>Bei diesem Ausgang des Verfahrens wären die Kosten grundsätzlich den Beschwerdeführerinnen aufzuerlegen (Art. 63 Abs. 1 und 5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