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D-6652/2019 vom 11. Februar 2020</w:t>
      </w:r>
    </w:p>
    <w:p>
      <w:r>
        <w:t>Bundesverwaltungsgericht, 2020-02-11, IT</w:t>
      </w:r>
    </w:p>
    <w:p>
      <w:r>
        <w:rPr>
          <w:b/>
        </w:rPr>
        <w:t xml:space="preserve">Quelle: </w:t>
      </w:r>
      <w:r>
        <w:t>https://mcp.opencaselaw.ch/entscheid/bvger_D-6652_2019</w:t>
      </w:r>
    </w:p>
    <w:p>
      <w:r>
        <w:t>FR: TAF D-6652/2019 du 11 février 2020</w:t>
      </w:r>
    </w:p>
    <w:p>
      <w:r>
        <w:t>IT: TAF D-6652/2019 del 11 febbraio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ricorso.</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4.1 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4.4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4.6</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w:t>
      </w:r>
    </w:p>
    <w:p>
      <w:r>
        <w:t>Nel caso di specie, le investigazioni effettuate dalla SEM hanno rivelato, dopo consultazione dell'unità centrale del sistema europeo «EURODAC», che gli interessati hanno depositato una domanda d'asilo in Francia il 9 maggio 2017 (cfr. atto 1053681-11/2). Di conseguenza, il 28 ottobre 2019 la SEM ha presentato alle autorità francesi, nei termini fissati dall'art. 23 par. 2 Regolamento Dublino III, una richiesta di ripresa in carico fondata sull'art. 18 par. 1 lett. b Regolamento Dublino III (cfr. atto 1053681-22/5). Il 31 ottobre 2019, queste autorità hanno espressamente accettato il trasferimento verso la Francia, in applicazione della stessa disposizione (cfr. atto 1053681-27/1). Di conseguenza, la competenza della Francia è di principio data.</w:t>
      </w:r>
    </w:p>
    <w:p>
      <w:r>
        <w:rPr>
          <w:b/>
        </w:rPr>
        <w:t>E. 6</w:t>
      </w:r>
    </w:p>
    <w:p>
      <w:r>
        <w:t>Quo alla procedura di asilo e di accoglienza dei richiedenti in Francia,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Francia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Francia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altre: sentenza del Tribunale F-4716/2019 del 19 settembre 2019). 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 Orbene, anche prendendo in considerazione le censure mosse nel gravame dai ricorrenti, nulla permette di ritenere l'esistenza di una pratica attuale avverata di violazione sistematica delle norme comunitarie minime in materia; il rispetto da parte della Francia dei suoi obblighi concernenti i diritti dei richiedenti l'asilo sul suo territorio è quindi presunto. Conseguentemente, visto tutto quanto precede l'applicazione dell'art. 3 par. 2 2ª frase Regolamento Dublino III non si giustifica nel caso di specie.</w:t>
      </w:r>
    </w:p>
    <w:p>
      <w:r>
        <w:rPr>
          <w:b/>
        </w:rPr>
        <w:t>E. 7</w:t>
      </w:r>
    </w:p>
    <w:p>
      <w:r>
        <w:t>Proseguendo nell'analisi, è ora necessario determinare se vi siano indizi seri e sufficienti che permettano di confutare la presunzione di sicurezza dei richiedenti l'asilo nel caso concreto. In proposito, gli insorgenti con le loro allegazioni vorrebbero fare intendere un'assenza di garanzie in merito all'accoglienza del nucleo famigliare in caso di rientro in Francia, nonché la violazione dell'unità della famiglia essendo, a loro dire, il trasferimento sproporzionato giacché D._______ avrebbe il diritto di intraprendere una relazione con F._______, suo padre biologico. Con ciò, in modo implicito, essi fanno riferimento alla clausola di sovranità di cui all'art. 17 par. 1 Regolamento Dublino III, rispettivamente all'art. 29a cpv. 3 OAsi 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se l'ha fatto secondo criteri oggettivi e trasparenti. In questi casi il Tribunale non può sostituire il suo apprezzamento a quello della SEM. Al contrario, qualora il trasferimento del richiedente nel Paese di destinazione contravvenga all'art. 4 CartaUE, all'art. 3 CEDU o all'art. 3 Conv. tortura, l'autorità inferiore è invece obbligata ad applicare la succitata clausola e ad entrare nel merito della domanda d'asilo (cfr. DTAF 2015/9 consid. 8.2.1).</w:t>
      </w:r>
    </w:p>
    <w:p>
      <w:r>
        <w:rPr>
          <w:b/>
        </w:rPr>
        <w:t>E. 7.1</w:t>
      </w:r>
    </w:p>
    <w:p>
      <w:r>
        <w:t>Preliminarmente, è d'uopo rilevare che i ricorrenti non hanno dimostrato che lo Stato di destinazione non sia intenzionato a prenderli in carico ed a portare a termine la procedura relativa alla loro domanda di protezione in violazione della direttiva procedura. Inoltre, questi non hanno apportato qualsivoglia indizio serio e concreto suscettibile di dimostrare che lo Stato di destinazione non rispetterebbe il principio del divieto di respingimento e, dunque, verrebbe meno nell'ossequio dei suoi obblighi internazionali, rinviandoli in un Paese dove la loro vita, integrità corporale o libertà sarebbero seriamente minacciate o da dove rischierebbero di essere respinti in un tale Paese. Agli atti non figurano neppure elementi tali da indurre a concludere che un trasferimento nello Stato in questione esporrebbe i ricorrenti al rischio di essere privati del sostentamento minimo e di subire delle condizioni di vita indegna in violazione della direttiva accoglienza. Su quanto precede, non permettono diversa conclusione neppure le censure proposte con il ricorso. Infatti, nella giurisprudenza evocata a sostegno della loro impugnativa (cfr. sentenza del Tribunale D-5488/2019 del 31 ottobre 2019) i richiedenti - contrariamente al caso in esame - resero verosimile l'esistenza di un rischio ai sensi di quanto testé enucleato. Pure inconsistente appare l'asserzione secondo cui le autorità francesi avrebbero omesso di constatare la presenza di un bambino in età infantile (cfr. memoriale ricorsuale, punto 17, pag. 7). L'identità di entrambi i richiedenti l'asilo è espressamente indicata nella richiesta nella domanda di ripresa in carico inoltrata alla Francia (cfr. atto 1053681-22/5); oltretutto la presenza del piccolo D._______ è stata riconosciuta dalle autorità in parola, essendo la sua identità chiaramente indicata nell'accettazione del 31 ottobre 2019 (cfr. atto 1053681-28/1). In altre parole, gli interessati non hanno fornito indizi seri suscettibili di comprovare che le sue condizioni di vita o la sua situazione personale sarebbero tali da contravvenire all'art. 4 della CartaUE, all'art. 3 CEDU o all'art. 3 Conv. tortura in caso di esecuzione del trasferimento in Francia. Ad ogni modo, appartiene ai ricorrenti sollevare l'eventuale violazione dei loro diritti fondamentali, utilizzando le adeguate vie di diritto dinanzi alle autorità dello Stato in questione.</w:t>
      </w:r>
    </w:p>
    <w:p>
      <w:r>
        <w:rPr>
          <w:b/>
        </w:rPr>
        <w:t>E. 7.2</w:t>
      </w:r>
    </w:p>
    <w:p>
      <w:r>
        <w:t>Per quanto attiene all'unità della famiglia, per i concubini è possibile dedurre un diritto al rispetto della vita familiare giusta l'art. 8 CEDU qualora si possa elevare la relazione a "vita familiare" prendendo in considerazione elementi come la coabitazione, la durata della stessa e la presenza di figli comuni (cfr. sentenza della CorteEDU Serife Yigit contro Turchia del 2 novembre 2010, 3976/05, §§ 93 seg. e § 96 con rinvii; DTF 137 I 113 consid. 6.1). Per unione duratura s'intende un'unione di vita di una certa durata tra due persone di carattere in principio esclusivo, la quale presenta una componente tanto spirituale quanto fisica ed economica, talvolta pure designata come unione di tetto, di tavolo e di letto (cfr. DTAF 2012/4 consid. 3.3.2). Per invocare il diritto al rispetto della vita familiare ex art. 8 CEDU, lo straniero non soltanto deve provare la presenza di una relazione stretta ed effettiva con una persona della sua famiglia, ma pure quest'ultima deve avere un diritto di presenza assicurato o duraturo in Svizzera (cfr. DTAF 2013/49 consid. 8.4.1 e relativi riferimenti, 2012/4 consid. 4.3 e relativi riferimenti). In casu, è pacifico che F._______ abbia un diritto di presenza duraturo in Svizzera; tuttavia la relazione di quest'ultimo con i richiedenti non può essere definita come duratura ed effettiva, come d'altra parte rettamente rilevato dall'autorità inferiore nella decisione avversata, alle cui considerazioni si rinvia integralmente (cfr. punto II, pag. 3 e 4) essendo le stesse sufficientemente pertinenti e dettagliate (cfr. art. 109 cpv. 3 LTF per rinvio dell'art. 4 PA). Vieppiù, v'è da rilevare che la giurisprudenza addotta in sede di replica a supporto del gravame (cfr. sentenza della CorteEDU A.C contro Bulgaria del 21 dicembre 2010, 3465/03) - concernente due coniugi non sposati, con un lungo passato di convivenza durante la quale hanno visto la luce tre figli - non permette diversa valutazione. Invero, questa è stata citata sommariamente, estrapolando dal contesto generale della sentenza alcuni passaggi accomodandoli alla fattispecie concreta.</w:t>
      </w:r>
    </w:p>
    <w:p>
      <w:r>
        <w:rPr>
          <w:b/>
        </w:rPr>
        <w:t>E. 7.3</w:t>
      </w:r>
    </w:p>
    <w:p>
      <w:r>
        <w:t>Per ciò che concerne l'intenzione di F._______ di procedere al riconoscimento di D._______ nonché all'avvio delle pratiche per il rilascio della cittadinanza svizzera, il Tribunale osserva che tali eventualità non costituiscono un impedimento al trasferimento. Infatti, con riguardo a quanto enucleato sopra, può essere preteso dai ricorrenti che attendano l'esito delle pratiche in Francia. Invero, essendo quest'ultimo uno Stato limitrofo, l'eventuale momentanea, distanza non appare particolarmente grande, così che F._______ potrà comunque mantenere i rapporti con gli interessati durante il lasso di tempo necessario all'evasione delle medesime. Parimenti, non costituisce un impedimento lo stato di salute dei ricorrenti, i quali del resto nulla adducono al riguardo.</w:t>
      </w:r>
    </w:p>
    <w:p>
      <w:r>
        <w:rPr>
          <w:b/>
        </w:rPr>
        <w:t>E. 7.4</w:t>
      </w:r>
    </w:p>
    <w:p>
      <w:r>
        <w:t>Per sovrabbondanza, tali considerazioni rimarrebbero immutate per il caso in cui le autorità francesi avessero effettivamente respinto la domanda di asilo depositata nel loro Paese (cfr atto 1053681-20/2). Dagli atti all'inserto, infatti, nulla permetterebbe di ritenere che la Francia non abbia proceduto ad un esame corretto della domanda d'asilo, tenendo conto delle particolarità del caso di specie. Oltre a ciò, è d'uopo rammentare che l'eventualità per cui la domanda di asilo fosse stata definitivamente rifiutata in Francia, non metterebbe in dubbio la competenza delle autorità di tale Paese per la possibile esecuzione del loro trasferimento, rispettivamente per un eventuale regolamento delle condizioni di soggiorno se un rinvio non fosse eseguibile nel loro Paese d'origine (cfr. in tal senso anche: sentenza del Tribunale F-5272/2019 del 17 ottobre 2019).</w:t>
      </w:r>
    </w:p>
    <w:p>
      <w:r>
        <w:rPr>
          <w:b/>
        </w:rPr>
        <w:t>E. 7.5</w:t>
      </w:r>
    </w:p>
    <w:p>
      <w:r>
        <w:t>In conclusione, nella presente fattispecie, non ci sono elementi per ritenere che l'autorità di prima istanza abbia esercitato in maniera arbitraria il suo potere discrezionale. Pertanto, ritenuto che tramite l'esame della domanda da parte di un unico Stato membro («one chance only») il Regolamento Dublino III intende far fronte proprio al fenomeno delle domande di asilo multiple («asylum shopping»), non vi è ragione di applicare la clausola discrezionale di cui all'art. 17 par. 1 Regolamento Dublino III (clausola di sovranità).</w:t>
      </w:r>
    </w:p>
    <w:p>
      <w:r>
        <w:rPr>
          <w:b/>
        </w:rPr>
        <w:t>E. 8</w:t>
      </w:r>
    </w:p>
    <w:p>
      <w:r>
        <w:t>Siccome la cittadinanza di F._______ così come la sua paternità biologica, non sono atte allo stato attuale a condurre a diversa conclusione rispetto a quanto considerato dall'autorità inferiore nella decisione avversata, anche l'allegazione ricorsuale con la quale viene censurato un accertamento incompleto dei fatti rilevanti (cfr. memoriale ricorsuale, punto 1 a 6, pag. 5) dev'essere disattesa. Del resto, anche gli aggiornamenti rimessi al Tribunale con lo scritto del 7 febbraio 2020 non mutano tale conclusione poiché nel concreto non si è verificato, ad oggi, alcun riconoscimento della paternità. Da ultimo, visti i considerandi che precedono, la questione circa l'estromissione di un documento interno (cfr. atto 1053681-41/2) postulata dalla SEM con le osservazioni del 3 gennaio 2020, può rimanere aperta.</w:t>
      </w:r>
    </w:p>
    <w:p>
      <w:r>
        <w:rPr>
          <w:b/>
        </w:rPr>
        <w:t>E. 9</w:t>
      </w:r>
    </w:p>
    <w:p>
      <w:r>
        <w:t>È dunque a giusto titolo che la SEM non è entrata nel merito della domanda di asilo dei ricorrenti, in applicazione dell'art. 31a cpv. 1 lett. b LAsi ed ha pronunciato il loro trasferimento verso la Francia conformemente all'art. 44 LAsi, posto che gli insorgenti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10</w:t>
      </w:r>
    </w:p>
    <w:p>
      <w:r>
        <w:t>Alla luce di quanto precede, il ricorso deve essere respinto e la decisione della SEM, che rifiuta l'entrata nel merito della domanda di asilo e pronuncia il trasferimento dalla Svizzera verso la Francia confermata.</w:t>
      </w:r>
    </w:p>
    <w:p>
      <w:r>
        <w:rPr>
          <w:b/>
        </w:rPr>
        <w:t>E. 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23 dicembre 2019, non sono riscosse spese.</w:t>
      </w:r>
    </w:p>
    <w:p>
      <w:r>
        <w:rPr>
          <w:b/>
        </w:rPr>
        <w:t>E. 12</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