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D-6652/2018 vom 7. August 2020</w:t>
      </w:r>
    </w:p>
    <w:p>
      <w:r>
        <w:t>Bundesverwaltungsgericht, 2020-08-07, DE</w:t>
      </w:r>
    </w:p>
    <w:p>
      <w:r>
        <w:rPr>
          <w:b/>
        </w:rPr>
        <w:t xml:space="preserve">Quelle: </w:t>
      </w:r>
      <w:r>
        <w:t>https://mcp.opencaselaw.ch/entscheid/bvger_D-6652_2018</w:t>
      </w:r>
    </w:p>
    <w:p>
      <w:r>
        <w:t>FR: TAF D-6652/2018 du 7 août 2020</w:t>
      </w:r>
    </w:p>
    <w:p>
      <w:r>
        <w:t>IT: TAF D-6652/2018 del 7 agosto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4.1</w:t>
      </w:r>
    </w:p>
    <w:p>
      <w:r>
        <w:t>Gemäss Art. 51 Abs. 1 AsylG werden Ehegatten von Flüchtlingen und ihre minderjährigen Kinder als Flüchtlinge anerkannt, wenn keine besonderen Umstände dagegensprechen.</w:t>
      </w:r>
    </w:p>
    <w:p>
      <w:r>
        <w:rPr>
          <w:b/>
        </w:rPr>
        <w:t>E. 4.2</w:t>
      </w:r>
    </w:p>
    <w:p>
      <w:r>
        <w:t>In der angefochtenen Verfügung wird argumentiert, dass es einen besonderen Umstand darstelle, welcher dem Einbezug in die Flüchtlingseigenschaft entgegenstehe, wenn die in die Flüchtlingseigenschaft einzubeziehende Person die Staatsangehörigkeit eines anderen Staates besitze, in dem die Familie nicht gefährdet und ihr ein dortiger Aufenthalt zumutbar wäre. Die Beschwerdeführerin habe in ihrem ordentlichen Asylverfahren ihre Herkunft verschleiert. Dem SEM seien ihre Staatsangehörigkeit und ein allfälliger Aufenthaltsstatus in einem Drittstaat bis heute nicht bekannt, weshalb nicht geprüft werden könne, ob sie mit ihrer Familie an den bisherigen Aufenthaltsort zurückkehren könne.</w:t>
      </w:r>
    </w:p>
    <w:p>
      <w:r>
        <w:rPr>
          <w:b/>
        </w:rPr>
        <w:t>E. 4.3</w:t>
      </w:r>
    </w:p>
    <w:p>
      <w:r>
        <w:t>In der Beschwerdeschrift wird dieser Argumentation entgegnet, dass die Ausnahmeklausel der besonderen Umstände dazu diene, Missbräuche zu verhindern, was vorliegend zu verneinen sei. Auch an der eheähnlichen Lebensgemeinschaft bestünden keine Zweifel. Ferner sei äusserst unwahrscheinlich, dass die Beschwerdeführerin künftig eine andere Staatsangehörigkeit als die chinesische erwerben könne, und es erscheine ausgeschlossen, dass sich die Familie in einem Drittstaat niederlassen könnte. Zu berücksichtigen sei ferner das Kindeswohl des gemeinsamen Sohnes, welcher in die Flüchtlingseigenschaft seines Vaters einbezogen worden sei. Das SEM habe auch den Anspruch auf rechtliches Gehör respektive die Begründungspflicht verletzt, da das Kindeswohl wie auch die Tatsache unberücksichtigt geblieben sei, dass der Lebenspartner in der Schweiz über ein gefestigtes Aufenthaltsrecht verfüge und somit das Recht habe, hier mit seiner Familie zusammenzuleben. Nicht beachtet worden sei auch der Umstand, dass der Erwerb einer anderen Staatsbürgerschaft kaum denkbar erscheine.</w:t>
      </w:r>
    </w:p>
    <w:p>
      <w:r>
        <w:rPr>
          <w:b/>
        </w:rPr>
        <w:t>E. 5.1</w:t>
      </w:r>
    </w:p>
    <w:p>
      <w:r>
        <w:t>Nach Art. 51 Abs. 1 AsylG werden Ehegatten von Flüchtlingen nur dann ebenfalls als Flüchtlinge anerkannt, wenn keine besonderen Umstände dagegensprechen. Dieses Kriterium dient gemäss ständiger Praxis insbesondere dem Zweck, Missbräuche zu verhindern (vgl. Urteil des BVGer E-1683/2013 vom 21. April 2015 E. 6.2.2 m.w.H.). In der Rechtsprechung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5.2</w:t>
      </w:r>
    </w:p>
    <w:p>
      <w:r>
        <w:t>Das Bundesverwaltungsgericht hat in einem Grundsatzurteil E-1813/2019 vom 1. Juli 2020 einen weiteren «besonderen Umstand» definiert, welcher der Gewährung des Familienasyls entgegensteht. Wird das SEM an der Überprüfung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Denn in solchen Fällen vereitelt sie die Prüfung, ob sich die ganze Familie im Heimatland des nicht verfolgten Ehepartners niederlassen könnte In verfahrensrechtlicher Hinsicht erwog das Gericht, dass das SEM zwar die Tatsachen und Beweismittel des ersten, abgeschlossenen Verfahrens berücksichtigen könne, jedoch gebiete der Anspruch auf rechtliches Gehör, dass der gesuchstellenden Person im zweiten Verfahren erneut die Möglichkeit gegeben werde, sich zu diesen zu äussern und allenfalls ihre ursprünglichen Aussagen zu ändern sowie neue Beweismittel einzureichen. Ferner müsse die gesuchstellende Person über die Rechtsfolge einer Verletzung der Mitwirkungspflicht informiert werden. Danach habe das SEM die Gesamtheit der Aussagen der gesuchstellenden Person und alle in den Akten vorhandenen Beweismittel im Hinblick auf die Frage zu würdigen, ob sie ihre Mitwirkungspflicht auch im Verfahren betreffend Familienasyl (schwer) verletzt habe (vgl. Urteil E-1813/2019 vom 1. Juli 2020 E. 8.3.5 [zur Publikation vorgesehen]).</w:t>
      </w:r>
    </w:p>
    <w:p>
      <w:r>
        <w:rPr>
          <w:b/>
        </w:rPr>
        <w:t>E. 5.3</w:t>
      </w:r>
    </w:p>
    <w:p>
      <w:r>
        <w:t>Das SEM hat der Beschwerdeführerin vorliegend weder die Möglichkeit geboten, sich zu Tatsachen und Beweismitteln des ordentlichen Asylverfahrens zu äussern und allenfalls neue Beweismittel beizubringen noch sie über die Rechtsfolge einer Verletzung der Mitwirkungspflicht informiert. Dadurch hat das SEM den Anspruch der Beschwerdeführerin auf rechtliches Gehör verletzt. Die Beschwerde ist somit begründet.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6.2</w:t>
      </w:r>
    </w:p>
    <w:p>
      <w:r>
        <w:t>Im vorliegenden Fall ist es angezeigt, die Sache an das SEM zurückzuweisen, um der Beschwerdeführerin das rechtliche Gehör im Sinne des Grundsatzurteils E-1813/2019 vom 1. Juli 2020 zu gewähren und anschliessend in Würdigung sämtlicher (eventuell auch neu beigebrachter) Beweismittel erneut zu entscheiden.</w:t>
      </w:r>
    </w:p>
    <w:p>
      <w:r>
        <w:rPr>
          <w:b/>
        </w:rPr>
        <w:t>E. 7</w:t>
      </w:r>
    </w:p>
    <w:p>
      <w:r>
        <w:t>Die Beschwerde ist somit gutzuheissen, soweit die Aufhebung der angefochtenen Verfügung beantragt wird. Die vorinstanzliche Verfügung vom 26. Oktober 2018 ist aufzuheben und zur Gewährung des rechtlichen Gehörs und erneuten Entscheidung an die Vorinstanz zurückzuweisen.</w:t>
      </w:r>
    </w:p>
    <w:p>
      <w:r>
        <w:rPr>
          <w:b/>
        </w:rPr>
        <w:t>E. 8.1</w:t>
      </w:r>
    </w:p>
    <w:p>
      <w:r>
        <w:t>Bei diesem Ausgang des Verfahrens sind keine Kosten zu erheben.</w:t>
      </w:r>
    </w:p>
    <w:p>
      <w:r>
        <w:rPr>
          <w:b/>
        </w:rPr>
        <w:t>E. 8.2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Die Kostennote vom 22. November 2018 erweist sich als angemessen. Das SEM ist somit anzuweisen, der Beschwerdeführerin eine Parteientschädigung in der Höhe von insgesamt Fr. 1'370.- auszurichten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