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D-6648/2013 vom 4. Dezember 2013</w:t>
      </w:r>
    </w:p>
    <w:p>
      <w:r>
        <w:t>Bundesverwaltungsgericht, 2013-12-04, DE</w:t>
      </w:r>
    </w:p>
    <w:p>
      <w:r>
        <w:rPr>
          <w:b/>
        </w:rPr>
        <w:t xml:space="preserve">Quelle: </w:t>
      </w:r>
      <w:r>
        <w:t>https://mcp.opencaselaw.ch/entscheid/bvger_D-6648_2013</w:t>
      </w:r>
    </w:p>
    <w:p>
      <w:r>
        <w:t>FR: TAF D-6648/2013 du 4 décembre 2013</w:t>
      </w:r>
    </w:p>
    <w:p>
      <w:r>
        <w:t>IT: TAF D-6648/2013 del 4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 in Übereinstimmung mit der Vorinstanz - festzustellen, dass die Asylvorbringen des Beschwerdeführers den Anforderungen an die Glaubhaftigkeit gemäss Art. 7 AsylG nicht standzuhalten vermögen, weshalb diesbezüglich vorab auf die ausführlichen und zutreffenden vorinstanzlichen Erwägungen zu verweisen ist (vgl. Ziffer II, Bst. B. vorstehend). In Ergänzung dazu ist festzuhalten, dass sich der Beschwerdeführer anlässlich der Befragungen auch widersprüchlich bezüglich des Zeitpunktes seiner zweiten Entführung äusserte. So sagte er bei der Kurzbefragung (sinngemäss) aus, diese habe sich am 15. April 2013 zugetragen (Akten BFM A 4/12 S. 8), während er bei der Anhörung zu Protokoll gab, er sei am 15. Mai 2013 zum zweiten Mal entführt worden (A 9/10 D31). Die Vorbringen in der Rechtsmittelschrift sind nicht geeignet, eine Änderung der vorinstanzlichen Verfügung zu bewirken, zumal diesen keine stichhaltigen Entgegnungen zu entnehmen sind. Insbesondere sind die Beschwerdevorbringen nicht geeignet zu erklären, weshalb der Beschwerdeführer anlässlich der Anhörung nicht in der Lage war, den Raum, worin er über einen Monat lang festgehalten worden sein will, detaillierter beziehungsweise seine Entführer genauer zu beschreiben, zumal es sich bei den geltend gemachten Entführungen um einschneidende Ereignisse gehandelt hat. Aufgrund der offensichtlichen Unglaubhaftigkeit der Asylvorbringen des Beschwerdeführers kann darauf verzichtet werden, die von ihm in der Rechtsmittelschrift in Aussicht gestellten Beweise abzuwarten, zumal diese auch nicht näher bezeichnet werden (antizipierte Beweiswürdigung; BVGE 2008/24 E. 7.2). Daher besteht auch kein Anlass, dem Beschwerdeführer eine angemessene Frist für die Nachreichung dieser Beweise zu gewähren, weshalb das diesbezügliche Rechtsbegehren abzuweisen ist. Gestützt auf das vorstehend Ausgeführte ist zu schliessen, dass es sich bei der vom Beschwerdeführer behaupteten Verfolgungssituation lediglich um ein Konstrukt handelt.</w:t>
      </w:r>
    </w:p>
    <w:p>
      <w:r>
        <w:rPr>
          <w:b/>
        </w:rPr>
        <w:t>E. 5.2</w:t>
      </w:r>
    </w:p>
    <w:p>
      <w:r>
        <w:t>Zusammenfassend ist daher festzuhalten, dass es dem Beschwerdeführer nicht gelungen ist, nachzuweisen oder zumindest glaubhaft zu machen, dass er in seiner Heimat ernsthafte Nachteile gemäss Art. 3 AsylG erlitten hat oder solche bei der Ausreise zu befürchten hatte oder im Falle einer Rückkehr nach Pakistan befürchten müsste. Das BFM hat demnach zu Recht die Flüchtlingseigenschaft des Beschwerdeführers verneint und dessen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Vorab ist festzustellen, dass angesichts der heutigen Lage in Pakistan nicht von einer Situation allgemeiner Gewalt oder von kriegeri­schen oder bürgerkriegsähnlichen Verhältnissen gesprochen werden kann, welche für den Beschwerdeführer bei einer Rückkehr eine konkrete Gefährdung darstellen würde.</w:t>
      </w:r>
    </w:p>
    <w:p>
      <w:r>
        <w:rPr>
          <w:b/>
        </w:rPr>
        <w:t>E. 7.3.3</w:t>
      </w:r>
    </w:p>
    <w:p>
      <w:r>
        <w:t>Auch aufgrund der persönlichen Situation des relativ jungen und - gemäss den Akten - gesunden Beschwerdeführers sind keine Gründe ersichtlich, die gegen die Zumutbarkeit des Wegweisungsvollzugs sprechen. Der Beschwerdeführer hat Berufserfahrung als E._______ sowie als F._______, weshalb anzunehmen ist, er könne sich in seiner Heimat wieder wirtschaftlich integrieren. Gemäss seinen Angaben leben zudem seine Eltern sowie seine vier Geschwister in D._______. Er verfügt somit in seiner Heimat über ein soziales Beziehungsnetz. Blosse soziale und wirtschaftliche Schwierigkeiten, von denen die ansässige Bevölkerung im Allgemeinen betroffen ist, genügen nicht, um eine konkrete Gefährdung im Sinne von Art. 83 Abs. 4 AuG darzustellen (vgl. BVGE 2008/34 E. 11.2.2).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Vollzug der Wegweisung zu bestätigen. Die Vorinstanz hat den Vollzug zu Recht als zulässig, zumutbar und möglich erachtet. Folglich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Mit dem negativen Entscheid in der Hauptsache werden die Anträge des Beschwerdeführers um Verzicht auf die Erhebung eines Kostenvorschusses, um Aufhebung der mit dem angefochtenen Entscheid angesetzten Ausreisefrist sowie um Erlaubnis, den Ausgang des Beschwerdeverfahrens in der Schweiz abzuwarten, gegenstandslos.</w:t>
      </w:r>
    </w:p>
    <w:p>
      <w:r>
        <w:rPr>
          <w:b/>
        </w:rPr>
        <w:t>E. 10.1</w:t>
      </w:r>
    </w:p>
    <w:p>
      <w:r>
        <w:t>Aufgrund vorstehender Erwägungen erweisen sich die Beschwerdebegehren als aussichtlos. Das Gesuch des Beschwerdeführers um unentgeltliche Rechtspflege im Sinne von Art. 65 Abs. 1 VwVG ist damit - unabhängig einer allfälligen prozessualen Bedürftigkeit - abzuweisen.</w:t>
      </w:r>
    </w:p>
    <w:p>
      <w:r>
        <w:rPr>
          <w:b/>
        </w:rPr>
        <w:t>E. 10.2</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