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D-6639/2011 vom 27. September 2012</w:t>
      </w:r>
    </w:p>
    <w:p>
      <w:r>
        <w:t>Bundesverwaltungsgericht, 2012-09-27, DE</w:t>
      </w:r>
    </w:p>
    <w:p>
      <w:r>
        <w:rPr>
          <w:b/>
        </w:rPr>
        <w:t xml:space="preserve">Quelle: </w:t>
      </w:r>
      <w:r>
        <w:t>https://mcp.opencaselaw.ch/entscheid/bvger_D-6639_2011</w:t>
      </w:r>
    </w:p>
    <w:p>
      <w:r>
        <w:t>FR: TAF D-6639/2011 du 27 septembre 2012</w:t>
      </w:r>
    </w:p>
    <w:p>
      <w:r>
        <w:t>IT: TAF D-6639/2011 del 27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macht insbesondere geltend, gegen ihn sei eine Fatwa erlassen worden, weil er einem Ahmadi geholfen habe. Abgese­hen davon, dass er bis zum heutigen Datum keinen schriftlichen Be­leg dafür eingereicht hat, war er - wie das BFM zu Recht festhält - nicht in der Lage, die entsprechenden Vorbringen angemessen zu substan­ziieren. Die angebliche Art und Weise, wie er von der Fatwa erfah­ren haben will, wirkt sehr stereotyp (A 13/14 Antworten 77 ff.). Befremdlich wirkt die Tatsache, dass er von der Fatwa nur vom Hörensa­gen erfahren haben soll und weitere Abklärungen offenbar unterliess. Fer­ner weist die Vorinstanz zutreffenderweise auf zeitliche Ungereimtheiten in den Aussagen zum Ausscheiden aus dem Geschäft hin; das Beschwerde­vorbringen, wonach es sich dabei lediglich um ein Missver­ständnis handle, ist offensichtlich nicht stichhaltig. Generell fällt auf, dass er sein religiöses Engagement für Toleranz in sunnitschen Kreisen weitge­hend ohne Realkennzeichen schilderte und dadurch kaum den Ein­druck des vor Ort risikohaften Einstehens für Andersgläubige zu vermit­teln vermochte. So war er auch nicht imstande, den Namen des Imams, in dessen Moschee er häufig gebetet und welcher Angriffe auf ihn veranlasst habe, zu nennen (A 13/14 Antworten 33 f.). Die angeblich kri­tischen Fragen, welche zu Schlägen geführt haben sollen, sowie die dem Ahmadi geleistete Hilfe schilderte er sehr oberflächlich (A 13 /14 Ant­worten 36 ff und 61 S. 7 unten f.). Es mag zutreffen, dass er sich mit C._______ ge­schäftlich zerstritt und gewisse Probleme im Familienverband entstan­den; der geltend gemachte religiöse Hintergrund wirkt nach dem Gesagten indes nicht glaubhaft. Hinzu­kommen die Umstände der Vorbereitung der Ausreise, welche vom BFM für realitätsfremd erachtet worden sind. Schliesslich wirken seine Schil­derungen der eigentlichen Reiseumstände ausgesprochen vage und stereotyp; so gab er bei der Summarbefragung an, nicht zu wissen, ob er das Land legal oder illegal verlassen habe (A 5/14 S. 9 ff.). Zudem steht seine Identität mangels rechtsgenüglicher Belege nach wie vor nicht eindeu­tig fest. In der Beschwerde beschränkt er sich im Wesentlichen dar­auf, gewisse Sachverhaltselemente aus seiner Sicht erneut darzule­gen; stringente Argumente, welche eine andere als die vom BFM vorge­nommene Einschätzung rechtfertigen würden, fehlen. Damit steht auch fest, dass die Vorinstanz bei der Prüfung der Glaubhaftigkeit entgegen den Beschwerdevorbringen keine rechtsungenügliche Gewichtung vor­nahm.</w:t>
      </w:r>
    </w:p>
    <w:p>
      <w:r>
        <w:rPr>
          <w:b/>
        </w:rPr>
        <w:t>E. 5</w:t>
      </w:r>
    </w:p>
    <w:p>
      <w:r>
        <w:t>Unter Berücksichtigung der gesamten Umstände folgt, dass der Be­schwer­deführer keine Gründe nach Art. 3 AsylG nachweisen oder glaub­haft machen konnte. Die Vorinstanz hat die Flüchtlingseigen­schaft dem­nach zu Recht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Pakistan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gelingt dem Beschwerdeführer angesichts der Unglaubhaftigkeit der Fluchtgründe offensichtlich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Das Bundesverwaltungsgericht geht davon aus, dass die all­ge­meine Lage in Pakistan nicht durch Krieg, Bürgerkrieg oder durch eine Si­tua­tion landesweiter allgemeiner Gewalt gekennzeichnet ist, aufgrund de­rer die Zivilbe­völ­kerung als konkret gefährdet bezeichnet werden müsste.</w:t>
      </w:r>
    </w:p>
    <w:p>
      <w:r>
        <w:rPr>
          <w:b/>
        </w:rPr>
        <w:t>E. 7.4.2</w:t>
      </w:r>
    </w:p>
    <w:p>
      <w:r>
        <w:t>Der Beschwerdeführer stammt aus B._______, wo seine Angehörigen le­ben. Er arbeitete als Autohändler und gehört der Religionsmehrheit der Sunniten an. Ein allfälliges Diabetes-Leiden kann auch in B._______ behan­delt werden. Ferner bestehen offenbar Kontakte zu Verwandten in den USA. Es ist entsprechend nicht davon aus­zugehen, dass er nach seiner Rückkehr nach Pakistan dort in eine exis­tenzgefährdende Situation ge­rät.</w:t>
      </w:r>
    </w:p>
    <w:p>
      <w:r>
        <w:rPr>
          <w:b/>
        </w:rPr>
        <w:t>E. 7.4.3</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grund­sätzlich dem Beschwerdeführer aufzuerlegen (Art. 63 Abs. 1 VwVG). Da das Gesuch im Sinne von Art. 65 Abs. 1 VwVG mit Zwischenverfügung vom 12. Dezem­ber 2011 gutgeheissen wurde und sich die finanzielle Situation des Beschwerdeführers offenbar nicht entscheidwesentlich verändert hat, ist von der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