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D-6637/2009 vom 1. Juni 2011</w:t>
      </w:r>
    </w:p>
    <w:p>
      <w:r>
        <w:t>Bundesverwaltungsgericht, 2011-06-01, DE</w:t>
      </w:r>
    </w:p>
    <w:p>
      <w:r>
        <w:rPr>
          <w:b/>
        </w:rPr>
        <w:t xml:space="preserve">Quelle: </w:t>
      </w:r>
      <w:r>
        <w:t>https://mcp.opencaselaw.ch/entscheid/bvger_D-6637_2009</w:t>
      </w:r>
    </w:p>
    <w:p>
      <w:r>
        <w:t>FR: TAF D-6637/2009 du 1 juin 2011</w:t>
      </w:r>
    </w:p>
    <w:p>
      <w:r>
        <w:t>IT: TAF D-6637/2009 del 1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Nach Prüfung der Akten gelangt das Bundesverwaltungsgericht zum Schluss, dass die dem Beschwerdeführer vom BFM vorgeworfenen Unglaubhaftigkeitselemente in den Akten eine Stütze finden. Ebenfalls ist der Vorinstanz darin zuzustimmen, dass die Vorbringen des Beschwerdeführers in Bezug auf die asylrechtliche Beachtlichkeit in Abrede zu stellen sind. Ferner vermag er mit der Berufung auf den familiären politischen Hintergrund und der daraus angeblich resultierenden Reflexverfolgung nichts zu seinen Gunsten abzuleiten. Insgesamt geben die ausführlichen vorinstanzlichen Erwägungen in der angefochtenen Verfügung zu keinen Beanstandungen Anlass (vgl. Bst. G hiervor sowie nach­ste­hend).</w:t>
      </w:r>
    </w:p>
    <w:p>
      <w:r>
        <w:rPr>
          <w:b/>
        </w:rPr>
        <w:t>E. 4.2</w:t>
      </w:r>
    </w:p>
    <w:p>
      <w:r>
        <w:t>Der Beschwerdeführer wurde anlässlich seiner drei Anhörungen (Erstanhörung im EVZ/direkte Bundesanhörung/ergänzende Bundesanhörung) während mehreren Stunden einlässlich befragt. Dabei berief er sich grundsätzlich auf denselben Sachverhalt. Die Verständigung mit den Dolmetschern bezeichnete er bei den Anhörungen als gut. Den Protokollen sind auch keinerlei Anhaltspunkte zu entnehmen, wonach der Beschwerdeführer nicht in der Lage gewesen wäre, den Befragungen zu folgen. Ebenfalls ergeben sich keine Hinweise für die Annahme, dass ihm nicht genügend Zeit für die Darlegung seiner Fluchtgründe zur Verfügung gestanden hätte. Dem Beschwerdeführer wurden nach seiner freien Erzählung zu den Gesuchsgründen im EVZ zusätzliche konkrete respektive klärende Fragen zu den von ihm erwähnten Vorkommnissen gestellt. Auch erhielt er abschliessend die Gelegenheit, allfällige weitere Gründe, die ihn zum Verlassen des Heimatlandes bewogen haben, darzutun. Mit den Befragungen beim Bundesamt verhält es sich gleichermassen. Insbesondere wurden dem Beschwerdeführer bei der ergänzenden Bundesanhörung Fragen respektive zahlreiche Nachfragen zu noch zu klärenden Punkten gestellt. Ferner bestätigte der Beschwerdeführer unterschriftlich die Richtigkeit (EVZ) und Vollständigkeit (Bundesamt) der diesbezüglichen Protokolle, weshalb er sich bei seinen Aussagen behaften zu lassen hat. Diese Feststellung erfährt zudem an Gewicht, als dass die beim Bun­desamt anwesenden Hilfswerkvertretungen nach Einräumung und Wahrnehmung der Gelegenheit, selbst Fragen an den Beschwerdeführer zu richten (direkte Bundesanhörung), keine Einwände anzumelden beziehungsweise weitere Abklärungen anzuregen hatten. Bei dieser Sachlage erweisen sich die in der Beschwerde zur Glaubhaftigkeit der geltend gemachten Fluchtgründe vorgebrachten Ausführungen als nicht entscheidrelevant. Dies vor allem deshalb, weil die divergierenden Aussagen des Beschwerdeführers anlässlich der Befragungen eingestanden und entweder von kaum wesentlicher Bedeutung für die Fluchtgründe (Todesumstände des Vaters), oder als keine wesentliche Unstimmigkeit respektive blosse Korrektur eines Missverständnisses (Aktivitäten mit der Kamera) oder nur geringfügige Unstimmigkeiten (Beschlagnahme/Zerstörung der Kamera; Angaben zum Zeitpunkt der Festnahme von S.D.) bezeichnet werden. Ferner sind die Aussagen des Beschwerdeführers im Zusammenhang mit der Festnahme und der Denunziation durch S.D. unmissverständlich ausgefallen. Der Argumentation in der Beschwerde zu diesem Punkt kann daher nicht gefolgt werden; ihr ist letztlich bloss die Bedeutung eines unbehelflichen Erklärungsversuches beizumessen. Der Glaubhaftigkeit der Darlegungen des Beschwerdeführers auch nicht gerade förderlich sind die nicht über Allgemeinplätze hinausgehenden und mutmassenden Behauptungen im Zusammenhang mit der angeblichen Unmöglichkeit der Beibringung von Beweismitteln in der Rechtsmitteleingabe, welche sowohl eine gegen den Beschwerdeführer laufende politische Strafuntersuchung als auch eine solche gegen seinen Freund S.D. betreffen sollen. Die dem Beschwerdeführer in der angefochtenen Verfügung in diesem Bereich vom BFM vorgeworfene Unbeteiligtheit ist nicht von der Hand zu weisen.</w:t>
      </w:r>
    </w:p>
    <w:p>
      <w:r>
        <w:rPr>
          <w:b/>
        </w:rPr>
        <w:t>E. 4.3</w:t>
      </w:r>
    </w:p>
    <w:p>
      <w:r>
        <w:t>Die Ausführungen des Beschwerdeführers zur Asylrelevanz seiner Darlegungen in der Rechtsmitteleingabe sind nicht geeignet, zur Zuerkennung der Flüchtlingseigenschaft zu führen. Die Vorinstanz begründete in der angefochtenen Verfügung, weshalb die ständigen Belästigungen und Bedrohungen gegenüber dem Beschwerdeführer, insbesondere auch im Zusammenhang mit seinen Tätigkeiten zugunsten der DTP, keine ernsthaften Nachteile im Sinne des Asylgesetzes darstellten. Zur Vermeidung von Wiederholungen kann in diesem Zusammenhang auf die entsprechende und weiter zu keiner Beanstandung Anlass gebende Argumentation des BFM in der angefochtenen Verfügung verwiesen werden. Daran ändern auch die hypothetischen Ausführungen des Beschwerdeführers in der Rechtsmitteleingabe nichts, wonach die von ihm aufgrund des unbestrittenen familiären Hintergrundes erlebten Behelligungen nicht bloss als empfundene Unannehmlichkeiten bezeichnet werden könnten, sondern die aus seinen journalistischen und politischen Aktivitäten resultierenden Befürchtungen vor einer Verfolgung in der Türkei, als in asylrechtlicher Hinsicht nicht leicht zu nehmen respektive als bedeutungsvoll anzusehen seien. Aus den Akten ergeben sich keine überzeugenden Hin­weise für die Annahme, dass der Beschwerdeführer nachteiligen Massnahmen staatlicher Organe in asylbeachtlicher Art und Weise ausgesetzt gewesen ist. Zum einen lassen sich dessen Aussagen auf die allgemeine Benachteiligung der kurdischen Bevölkerung in der Türkei reduzieren, was praxisgemäss nicht zur Anerkennung der Flüchtlingseigenschaft genügt. Zum anderen ist mit der Vorinstanz festzustellen, dass das geltend gemachte journalistische und politische Engagement des Beschwerdeführers auch nicht einen derartigen Grad erreichte, als dass von begründeter Furcht vor einer zukünftigen Verfolgung gesprochen werden könnte. Unter anderem geht aus dem Protokoll der direkten Bundesanhörung her­vor, dass er neben der Tätigkeit mit der Kamera zugunsten der Partei stets noch als Coiffeur gearbeitet und dabei so viel verdient habe, dass er auf eine Entlöhnung durch die DTP nicht angewiesen gewesen ist. Schliesslich sind in diesem Zusammenhang die Ausreiseumstände des Beschwerdeführers zu erwähnen. Gemäss dessen Schilderungen ist er mit einem von seinem Onkel organisierten, auf den Familiennamen ([...]) ausgestellten und mit seinem Foto versehenen Reisepass über den Flughafen Istanbul problemlos ausgereist. In Anbetracht des erwähnten familiären Hintergrundes sowie der angeblichen behördlichen Suche nach ihm erscheint es indes kaum verständlich, dass sich der Beschwerdeführer ausgerechnet auf diese Art und Weise bei den bekanntermassen rigorosen Kontrollen am Flughafen dem Risiko eines möglichen Ent­deckt­wer­dens ausgesetzt haben soll. Ein solches Verhalten spricht jedenfalls gegen die von ihm behauptete (asylrelevante) Gefährdungssi­tuation.</w:t>
      </w:r>
    </w:p>
    <w:p>
      <w:r>
        <w:rPr>
          <w:b/>
        </w:rPr>
        <w:t>E. 4.4.1</w:t>
      </w:r>
    </w:p>
    <w:p>
      <w:r>
        <w:t>Bezüglich der vom Beschwerdeführer geltend gemachten Reflex­verfolgung ist folgendes festzuhalten: Das Bundesverwaltungsgericht geht - in Anlehnung an die bisherige Praxis der Schweizerischen Asylrekurskommission (ARK) (vgl. Entscheidungen und Mitteilungen der ARK [EMARK] 2005 Nr. 21) - davon aus, dass in der Türkei staatliche Repressalien gegen Familienange­hörige von politischen Aktivisten angewandt werden, die als soge­nannte Reflexverfolgung flüchtlingsrechtlich er­heb­lich im Sinne von Art. 3 AsylG sein können. Die Wahrscheinlichkeit, Opfer einer Reflex­verfolgung zu werden, ist gemäss Praxis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(vgl. EMARK 2005 Nr. 21 E. 10.1 S. 195).</w:t>
      </w:r>
    </w:p>
    <w:p>
      <w:r>
        <w:rPr>
          <w:b/>
        </w:rPr>
        <w:t>E. 4.4.2</w:t>
      </w:r>
    </w:p>
    <w:p>
      <w:r>
        <w:t>Wie die Vorinstanz zutreffend festhielt sind den Akten keine konkreten Anhaltspunkte zu entnehmen, inwiefern der Beschwerdeführer wegen seinen sich in der Schweiz seit Jahren aufhaltenden oder in der Türkei lebenden Verwandten ernsthaften Nachteilen im Sinne von Art. 3 AsylG ausgesetzt gewesen ist. Die für die DTP jahrelang Tätigkeiten ausführende Schwester des Beschwerdeführers, die gemäss dessen Kenntnissen zum Zeitpunkt seines Aufenthaltes im Heimatland insgesamt zweimal für jeweils einige Stunden festgehalten worden sein soll, lebt nach wie vor in der Türkei. Ein Cousin mütterlicherseits (M.D.) bekleidete gar das Amt des Provinzvorstehers dieser Partei. Im Zusammenhang mit den zahlreichen übrigen in der Türkei lebenden Verwandten des Beschwerdeführers erweist sich hinsichtlich der behaupteten Reflexverfolgung sodann seine Aussage anlässlich der ergänzenden Bundesanhörung aufschlussreich, wonach sich seine Situation gegenüber seiner Schwester oder Verwandtschaft allein in seinem Alter (jüngstes Mitglied der Familie/­Ver­wandt­schaft) unterscheide. Die anderen hätten vieles durchgemacht und genug gelitten. Sie seien verheiratet und hätten Kinder, weshalb deren Ausgangslage anders sei. Nebst dem unter E. 4.3. Gesagten spricht der Umstand, dass die zahlreichen, denselben Namen tragenden Mitglieder der Familie des Beschwerdeführers im engeren und weiteren Sinne noch im­mer in der Türkei leben und sich nicht zur Ausreise veranlasst sahen, gegen das Risiko einer Reflexverfolgung.</w:t>
      </w:r>
    </w:p>
    <w:p>
      <w:r>
        <w:rPr>
          <w:b/>
        </w:rPr>
        <w:t>E. 4.4.3</w:t>
      </w:r>
    </w:p>
    <w:p>
      <w:r>
        <w:t>Das Bundesverwaltungsgericht verkennt nicht, dass der Be­schwerdeführer bei einer Rückkehr in die Türkei mit einer einlässlichen Befragung durch die Sicherheitsbehörden konfrontiert werden könnte. Anhand der Akten besteht jedoch kein Grund für die Annahme, ihm drohten dabei Nachteile im Sinne von Art. 3 AsylG.</w:t>
      </w:r>
    </w:p>
    <w:p>
      <w:r>
        <w:rPr>
          <w:b/>
        </w:rPr>
        <w:t>E. 4.5</w:t>
      </w:r>
    </w:p>
    <w:p>
      <w:r>
        <w:t>Abschliessend und der Vollständigkeit halber sei noch auf F. Gygi, Bundesverwaltungsrechtspflege, 2. Aufl., Bern 1983, S. 321 hingewiesen. Danach braucht sich die urteilende Instanz nicht mit allen Partei­stand­punkten einlässlich auseinanderzusetzen und jedes einzelne Vorbringen ausdrücklich zu widerlegen. Das würde häufig einen prozessökonomisch nicht vertretbaren Aufwand er­heischen. Das Urteil braucht höchstens zu den wesentlichen Parteiauffassungen Stellung zu beziehen und selbst das kann auf konkludente Weise dadurch geschehen, dass die Urteilsgründe der entscheidenden Instanz schlüssig in Erscheinung treten. Mit Rücksicht auf die vor­erwähnten Erwägungen besteht keine Veranlassung, auf die weiteren Ausführungen in der Beschwerde einzugehen.</w:t>
      </w:r>
    </w:p>
    <w:p>
      <w:r>
        <w:rPr>
          <w:b/>
        </w:rPr>
        <w:t>E. 4.6</w:t>
      </w:r>
    </w:p>
    <w:p>
      <w:r>
        <w:t>Zusammenfassend ist festzustellen, dass der Beschwerdeführer nicht darzutun vermochte, dass er einer Verfolgung im Sinne von Art. 3 AsylG ausgesetzt war oder begründete Furcht hat, einer solchen aus­ge­setzt werden zu können. Er kann daher nicht als Flüchtling aner­kannt werden. Die Vorinstanz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In der Türkei herrscht zurzeit weder Krieg, Bürgerkrieg noch eine Situation allgemeiner Gewalt, weshalb unter diesem Aspekt von der generellen Zumutbarkeit des Wegweisungsvollzugs in dieses Land auszugehen ist. Wie vorstehend ausgeführt, muss sich der Beschwerdeführer bei einer Rückkehr in die Türkei keiner konkreten Gefährdung ausgesetzt sehen. Aufgrund der Aktenlage ist nicht davon auszugehen, dass ihm Behelligun­gen drohen, die zwar nicht die von Art. 3 EMRK geforderte Intensität erreichen, eine Rückkehr aber trotzdem als unzumutbar erscheinen lassen. Er verfügt in seiner Heimat über ein familiäres und darüber hinausgehendes Beziehungsnetz sowie reichlich Berufserfahrung, so dass ihm eine Reintegration nicht allzu schwer fallen sollte. Nach dem Gesagten erweist sich der Vollzug der Wegweisung auch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Mit Instruktionsverfügung vom 27. Oktober 2009 wurde das Gesuch des Beschwerdeführers um Gewährung der unentgeltlichen Rechtspflege im Sinne von Art. 65 Abs. 1 VwVG gutgeheissen (vgl. Bst. I und J hiervor). Aus den Akten ergeben sich keine Hin­weise auf eine in der Zwischenzeit eingetretene massgebliche Verbes­serung seiner finanziellen Lage. Auf die Auferlegung von Verfahrenskosten ist demnach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