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D-6635/2017 vom 5. März 2018</w:t>
      </w:r>
    </w:p>
    <w:p>
      <w:r>
        <w:t>Bundesverwaltungsgericht, 2018-03-05, DE</w:t>
      </w:r>
    </w:p>
    <w:p>
      <w:r>
        <w:rPr>
          <w:b/>
        </w:rPr>
        <w:t xml:space="preserve">Quelle: </w:t>
      </w:r>
      <w:r>
        <w:t>https://mcp.opencaselaw.ch/entscheid/bvger_D-6635_2017</w:t>
      </w:r>
    </w:p>
    <w:p>
      <w:r>
        <w:t>FR: TAF D-6635/2017 du 5 mars 2018</w:t>
      </w:r>
    </w:p>
    <w:p>
      <w:r>
        <w:t>IT: TAF D-6635/2017 del 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seine Ausreise im Wesentlichen damit, die Salafisten hätten ihn während drei bis vier Jahren nachts telefonisch bedroht, weil er eine islamkritische Haltung habe und homosexuell sei. Darüber hinaus hätten diese im März sowie im Juli des Jahres 2014 versucht, ihn mit einem Auto zu überfahren.</w:t>
      </w:r>
    </w:p>
    <w:p>
      <w:r>
        <w:rPr>
          <w:b/>
        </w:rPr>
        <w:t>E. 5.1.1</w:t>
      </w:r>
    </w:p>
    <w:p>
      <w:r>
        <w:t>Einleitend bleibt festzuhalten, dass die Schilderungen des Beschwerdeführers beider Vorfälle im März beziehungsweise im Juli 2014 keineswegs den Eindruck vermitteln, der Beschwerdeführer habe einen Attentatsversuch nur glückhaft unbeschadet überstanden. So führte er hinsichtlich des Geschehnisses vom März 2014 anlässlich der Anhörung vom 24. August 2017 unter anderem Folgendes aus: "Das Auto wendete dann und fuhr in meine Richtung. Ich war auf dem Trottoir, ich lief ganz normal weiter, plötzlich ging es etwas bergauf und plötzlich fuhr das Auto in meine Richtung auf das Trottoir. Es gab weitere Passanten auf der Strasse, viele rannten sogar weg, und das Auto fuhr einfach in meine Richtung und fuhr fast in den Laden hinein. In jenem Zeitpunkt habe ich überraschenderweise wirklich das Nummernschild fotografiert - fragen Sie mich nicht, weshalb ich das gemacht habe, es war eine Reaktion. Also fotografiert, tut mir leid, nicht mit einem Gerät, sondern ich habe mir einfach die Nummer gemerkt. Ich wusste nicht, was ich machen sollte. Ich hatte aber eben die Erfahrung gemacht, dass ich schon einmal bei der Polizei eine Anzeige erstattet habe wegen dieser Telefonnummer" (vgl. act. A10/20 S. 6 F31). Die soeben zitierten Sinneseindrücke vermitteln aus Sicht des Gerichts den Anschein, als habe der Beschwerdeführer gleichsam als neutraler Beobachter ein Geschehnis kommentiert, ohne selbst Teil desselben gewesen zu sein. So erstaunt es insbesondere, dass er zwar konstatierte, dass viele Passanten auf der Strasse vor dem nahenden Auto davongerannt seien und dieses beinahe in ein Geschäft hineingefahren sei, ohne aber seine eigentliche Befindlichkeit hinsichtlich dieses Geschehnisses plastisch zum Ausdruck bringen zu können. Es entsteht vielmehr der Eindruck, der Beschwerdeführer schildere einen Vorfall, den er zwar möglicherweise selbst erlebt hat, der aber keinen direkten Bezug zu seiner Person aufwies und auch nicht ersichtlich ein Gefahrenmoment für ihn darstellte. Auch seine Darstellung des zweiten Vorfalls vom Juli 2014 lässt nicht an einen gezielt gegen ihn gerichteten Attentatsversuch, sondern eher an die Schaffung eines Gefahrenzustandes durch eigenes Fehlverhalten denken: "Ich wollte die Strasse überqueren, plötzlich hielt ein Auto vor mir an. Ich musste sogar einen Schritt zurücklaufen. Ich weiss nicht, ob der Fahrer mich schon vorher bemerkte und mich verfolgte. Als ich mir das Auto anschaute, war es ein Taxi. Der Fahrer schaute mich an und sagte mir dann schlimme Wörter. Das Einzige, was ich noch im Kopf habe, war, als er mir sagte: ,Weisst Du nicht, wie man läuft und eine Strasse überquert!?' Er war sehr wütend und fuhr wieder weg" (vgl. act. A10/20 S. 7 F35). Nach dem Gesagten gelangt das Bundesverwaltungsgericht zum Schluss, dass die vorstehenden Schilderungen des Beschwerdeführers keine Hinweise auf ein gezielt gegen ihn gerichtetes Attentat enthalten. Seine Behauptung, man habe im Jahr 2014 zweimal vorsätzlich versucht, ihn mit einem Auto zu überfahren, erweist sich demnach als unglaubhaft.</w:t>
      </w:r>
    </w:p>
    <w:p>
      <w:r>
        <w:rPr>
          <w:b/>
        </w:rPr>
        <w:t>E. 5.1.2</w:t>
      </w:r>
    </w:p>
    <w:p>
      <w:r>
        <w:t>Der Beschwerdeführer behauptet weiter, die Salafisten hätten ihn drei bis vier Jahre lang nachts telefonisch bedroht. Angesichts der notorischen Unduldsamkeit der Islamisten gegenüber jeglicher Kritik an ihrer Religion mutet es indessen realitätsfremd an, dass diese den Beschwerdeführer über Jahre einfach nur mündlich verwarnt hätten, ohne ihn für seine angeblich anhaltende Neigung zum Christentum persönlich zur Rechenschaft zu ziehen.</w:t>
      </w:r>
    </w:p>
    <w:p>
      <w:r>
        <w:rPr>
          <w:b/>
        </w:rPr>
        <w:t>E. 5.1.3</w:t>
      </w:r>
    </w:p>
    <w:p>
      <w:r>
        <w:t>Gegen die Glaubhaftigkeit eines nachhaltigen Interesses der Salafisten an seiner Person spricht im Ergebnis auch der Umstand, dass der Beschwerdeführer keinerlei Belege beigebracht hat, die seine Schwierigkeiten mit ihnen veranschaulichen könnten. So hat der Beschwerdeführer beispielsweise keine Dokumente vorgelegt, die belegen könnten, dass er im Zusammenhang mit den angeblichen telefonischen Drohanrufen Anzeige bei der Polizei erstattet hätte, wiewohl er in diesem Zusammenhang mindestens 15 Male bei der örtlichen Polizei vorstellig geworden sein will (vgl. act. A10/20 S. 10 F52).</w:t>
      </w:r>
    </w:p>
    <w:p>
      <w:r>
        <w:rPr>
          <w:b/>
        </w:rPr>
        <w:t>E. 5.1.4</w:t>
      </w:r>
    </w:p>
    <w:p>
      <w:r>
        <w:t>Der Beschwerdeführer behauptete weiter, seine drei ledigen und sehr religiösen Schwestern, die gemeinsam mit ihm in einem Haushalt gelebt hätten, hätten überall herumerzählt, dass er zum Christentum konvertieren wolle und homosexuell sei. In der Folge hätten die telefonischen Drohungen begonnen. Da seine Telefonnummer nur seinen Familienangehörigen bekannt gewesen sei, sei er gewiss, dass seine Schwestern den Islamisten auch seine Telefonnummer bekanntgegeben hätten (vgl. act. A6/13 S. 7 Ziff. 7.01). Wie das SEM in seiner Verfügung vom 24. Oktober 2017 indessen zu Recht vermerkt hat, standen die drei ledigen Schwestern des Beschwerdeführers angesichts der muslimisch-patriarchalischen Gesellschaftsordnung in dessen Heimat in einem grossen Abhängigkeitsverhältnis zum Beschwerdeführer, lebte er doch nach seinen Angaben als einziger Mann in ihrem Haushalt (vgl. act. A6/13 S. 4 Ziff. 2.01 i.V.m. S. 5 Ziff. 3.01 und act. A10/20 S. 4 F15 bis 17). Der Beschwerdeführer betonte in diesem Zusammenhang auch, er habe sich für seine drei ledigen Schwestern verantwortlich gefühlt und diese im Einklang mit der gesellschaftlichen Werteordnung seiner Heimat beschützen wollen (vgl. act. A10/20 S. 4 F15 f.). Vor diesem Hintergrund erscheint dessen Behauptung, seine drei Schwestern hätten ihn öffentlich diffamiert, als realitätsfremd. Der Erklärungsversuch in der Beschwerde, die drei Schwestern hätten ihre "Ehrenrettung" an die streng salafistischen Kreise "delegiert" und dabei erhofft, durch ihre Distanzierung zu ihrem Bruder eine gesellschaftliche Rehabilitation zu erfahren (a.a.O. S. 8 oben), vermag das Gericht nicht zu überzeugen. Auch der Hinweis in der Beschwerde, die Tatsache, dass der Beschwerdeführer nie geheiratet habe, habe für seine jüngeren Schwestern ein Erschwernis gebildet, selber eine Ehe einzugehen (a.a.O. S. 5), erweist sich als nicht stichhaltig, zumal die drei jüngsten Schwestern des Beschwerdeführers allem Anschein nach alle verheiratet sind (vgl. act. A6/13 S. 5 Ziff. 3.01). Darüber hinaus hat der Beschwerdeführer selbst deutlich zum Ausdruck gebracht, nur seinen engsten Freunden anvertraut zu haben, homosexuell zu sein und zum Christentum konvertieren zu wollen (vgl. act. A10/20 S. 12 F64 bis 66). Seiner Familie gegenüber habe er dementiert, zum Christentum übertreten zu wollen (vgl. act. A10/20 S. 12 F66). Im Übrigen machte der Beschwerdeführer auch klar, dass er effektiv nicht zum Christentum konvertiert sei (vgl. act. A6/13 S. 7 Ziff. 7.01 und S. 8 Ziff. 7.02 sowie act. A10/20 S. 4 F14). Ausserdem spricht nichts in den Akten dafür, dass er seine Homosexualität offen ausgelebt hätte, betonte er doch wiederholt, der gegen ihn gerichtete Verdacht, homosexuell zu sein, gründe letztlich einzig darin, dass er sich der eigenen Heirat mehrmals widersetzt habe (vgl. act. A6/13 S. 8 Ziff. 7.02 und act. A10/20 S. 3 F13 und S. 12 f. F67). Den Akten zufolge hat der Beschwerdeführer sich somit nach aussen weder als homosexuell noch als islamkritisch geoutet. Somit hätten seine Schwestern den Ruf ihrer ganzen Familie geschädigt, wenn sie ihn ohne Not an die Salafisten denunziert hätten. All diese Überlegungen führen im Ergebnis zum Schluss, dass die angeblichen Übergriffe der Salafisten auf den Beschwerdeführer und auch seine angebliche innerfamiliäre Ausgrenzung unglaubhaft sind.</w:t>
      </w:r>
    </w:p>
    <w:p>
      <w:r>
        <w:rPr>
          <w:b/>
        </w:rPr>
        <w:t>E. 5.2</w:t>
      </w:r>
    </w:p>
    <w:p>
      <w:r>
        <w:t>Zusammenfassend ist deshalb festzuhalten, dass es dem Beschwerdeführer nicht gelungen ist, eine asylrechtlich relevante Verfolgungssituation nachzuweisen beziehungsweise glaubhaft zu machen. Es erübrigt sich, auf weitere Vorbringen in der Beschwerde einzugehen, da sie am Ergebnis nichts ändern können. Das SEM hat sein Asylgesuch demnach im Ergebnis zu Recht und mit zutreffender Begründung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7.3.1</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(vgl. Botschaft zum Bundesgesetz über die Ausländerinnen und Ausländer vom 8. März 2002 BBl 2002 3818).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7.3.2</w:t>
      </w:r>
    </w:p>
    <w:p>
      <w:r>
        <w:t>Der Beschwerdeführer leidet dem ärztlichen Bericht von Dr. med. E._______ vom 13. Oktober 2017 an einem chronischen Schmerzsyndrom. Weiter geht aus besagtem ärztlichem Bericht hervor, dass der Beschwerdeführer sich in diesem Zusammenhang seit Anfang Oktober 2017 in physiotherapeutischer Behandlung befindet. Ausserdem finde seit Anfang Oktober 2017 eine ambulante Spitalabklärung bezüglich der Schmerzmedikation statt. In Bezug auf diese Erkrankung wird in der Beschwerde unter anderem ausgeführt, nach den heutigen Erkenntnissen der Forschung gebe es unterschiedliche Ursachen für die Entstehung eines chronischen Schmerzsyndroms. So könnten chronische Schmerzen etwa Ausdruck einer primär psychischen Erkrankung sein. Sie würden vor allem bei Depressionen, posttraumatischen Belastungsstörungen oder Angststörungen auftreten. Die Behandlung des Schmerzsyndroms sei hochkomplex (a.a.O. S. 12 Ziff. 3.2.2). Die Vorinstanz hat in ihrer Verfügung darauf hingewiesen, eine adäquate medizinische Behandlung des chronischen Schmerzsyndroms könne auch in der Heimat des Beschwerdeführers erfolgen, zumal davon ausgegangen werden dürfe, dass auch dort die einschlägig bekannten Schmerzmedikamente erhältlich seien. Aus diesem Grunde erweise sich der Wegweisungsvollzug des Beschwerdeführers aus medizinischer Sicht als zumutbar. Das Bundesverwaltungsgericht teilt diese Einschätzung und weist den Beschwerdeführer überdies darauf hin, dass er im Rahmen der individuellen Rückkehrhilfe die Möglichkeit hat, zusätzliche medizinische Hilfeleistungen zu beantragen (vgl. Art. 75 der Asylverordnung 2 vom 11. August 1999 (AsylV 2, SR 142.312). Insgesamt liegt somit keine medizinische Notlage im Sinne der Rechtsprechung vor, welche den Vollzug der Wegweisung als nicht zumutbar erscheinen liesse.</w:t>
      </w:r>
    </w:p>
    <w:p>
      <w:r>
        <w:rPr>
          <w:b/>
        </w:rPr>
        <w:t>E. 7.3.3</w:t>
      </w:r>
    </w:p>
    <w:p>
      <w:r>
        <w:t>Die Vorinstanz stellt im Weiteren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dort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So sei davon auszugehen, dass er in seiner Heimat über ein tragfähiges soziales Beziehungsnetz - Verwandte und Freunde - verfüge, da seine Vorbringen, seine Verwandten hätten ihn verstossen, nicht glaubhaft seien. Zudem habe er einen Hochschulabschluss als Bauarchitekt und verfüge über eine langjährige Berufserfahrung. Sollte die Auftragslage ungenügend sein, könnte er auch auf die Hilfe seiner Verwandtschaft zählen, zumal drei seiner Brüder in F._______, G._______ beziehungsweise H._______ lebten. Demzufolge seien aus den Akten keine individuellen Gründe ersichtlich, die gegen die Rückkehr in seine Heimat sprechen würden (vgl. angefochtene Verfügung, S. 6). Das Bundesverwaltungsgericht hat im Urteil E-3737/2015 vom 14. Dezember 2015 (als Referenzurteil publiziert) festgestellt, dass in den vier Provinzen der Autonomen Kurdischen Region (das KRG-Gebiet wird seit Anfang 2015 durch die Provinzen Dohuk, Erbil, Sulaimaniya sowie Halabja gebildet) heute nach wie vor nicht von einer Situation allgemeiner Gewalt im Sinne von Art. 83 Abs. 4 AuG auszugehen ist und keine konkreten Anhaltspunkte für die Annahme vorliegen, dies werde sich in absehbarer Zeitmassgeblich verändern. An dieser Sichtweise wird weiterhin festgehalten (vgl. Urteile des BVGer D-3405/2016 vom 14. September 2016, E-3354/2016 vom 23. Juni 2016 und D-6975/2015 vom 16. Juni 2016). In Übereinstimmung mit den vorinstanzlichen Erwägungen ist vorliegend von der Zumutbarkeit des Wegweisungsvollzugs auszugehen.</w:t>
      </w:r>
    </w:p>
    <w:p>
      <w:r>
        <w:rPr>
          <w:b/>
        </w:rPr>
        <w:t>E. 7.4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9.1</w:t>
      </w:r>
    </w:p>
    <w:p>
      <w:r>
        <w:t>Aufgrund der angestellten Erwägungen hat sich die Beschwerde als aussichtslos erwiesen. Somit sind die Gesuche um Gewährung der unentgeltlichen Rechtspflege im Sinne von Art. 65 Abs. 1 VwVG und um Beiordnung eines amtlichen Rechtsbeistands gemäss Art. 110a AsylG abzuweisen.</w:t>
      </w:r>
    </w:p>
    <w:p>
      <w:r>
        <w:rPr>
          <w:b/>
        </w:rPr>
        <w:t>E. 9.2</w:t>
      </w:r>
    </w:p>
    <w:p>
      <w:r>
        <w:t>Als Folge der Abweisung der Beschwerde sind die Kosten des Verfahrens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