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D-6620/2017 vom 1. November 2018</w:t>
      </w:r>
    </w:p>
    <w:p>
      <w:r>
        <w:t>Bundesverwaltungsgericht, 2018-11-01, DE</w:t>
      </w:r>
    </w:p>
    <w:p>
      <w:r>
        <w:rPr>
          <w:b/>
        </w:rPr>
        <w:t xml:space="preserve">Quelle: </w:t>
      </w:r>
      <w:r>
        <w:t>https://mcp.opencaselaw.ch/entscheid/bvger_D-6620_2017</w:t>
      </w:r>
    </w:p>
    <w:p>
      <w:r>
        <w:t>FR: TAF D-6620/2017 du 1 novembre 2018</w:t>
      </w:r>
    </w:p>
    <w:p>
      <w:r>
        <w:t>IT: TAF D-6620/2017 del 1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4.1</w:t>
      </w:r>
    </w:p>
    <w:p>
      <w:r>
        <w:t>Der Ehemann der Beschwerdeführerin ist zwischenzeitlich ebenfalls in die Schweiz eingereist und hat seinerseits ein Asylgesuch gestellt. Das ihn betreffende Asylverfahren ist beim SEM hängig. Reichen Ehegatten unabhängig voneinander ein Asylgesuch ein, so kann die Frage der Flüchtlingseigenschaft des einen nicht losgelöst von derjenigen des anderen Ehegatten beurteilt werden. Ist - wie vorliegend - eine Beschwerde des einen Ehegatten beim Bundesverwaltungsgericht hängig, während betreffend den anderen Ehegatten ein Asylverfahren beim SEM in erster Instanz behandelt wird, so hat das Bundesverwaltungsgericht entweder das Beschwerdeverfahren zu sistieren oder zurück an die Vorinstanz zu weisen (vgl. Urteil D-5218/2010 vom 15. November 2012; Entscheidungen und Mitteilungen der Schweizerischen Asylrekurskommission [EMARK] 1999 Nr. 1 E. 2a - e).</w:t>
      </w:r>
    </w:p>
    <w:p>
      <w:r>
        <w:rPr>
          <w:b/>
        </w:rPr>
        <w:t>E. 4.2</w:t>
      </w:r>
    </w:p>
    <w:p>
      <w:r>
        <w:t>Da sich die Beschwerdeführerin auf Schwierigkeiten beruft, die ihr Ehemann im Heimatland gehabt habe, und sie eine diesbezügliche Reflexverfolgung geltend macht, kann das sie betreffende Beschwerdeverfahren nicht weitergeführt werden, solange über das Asylgesuch ihres Ehemannes nicht entschieden wurde. Wann der erstinstanzliche Entscheid betreffend das Asylgesuch des Ehemannes ergehen wird, ist aufgrund der Aktenlage nicht absehbar. Nach der Befragung zur Person vom 9. Februar 2018 wurde das Dossier wieder ans Bundesverwaltungsgericht retourniert und es sind keine weiteren Verfahrensschritte erfolgt, insbesondere fand bis anhin keine Anhörung des Ehemannes der Beschwerdeführerin statt. Daraus lässt sich schliessen, dass dem Asylgesuch des Ehemannes keine vorderste Priorität zukommt. Angesichts der gesetzlich vorgesehenen Behandlungsfristen (vgl. 109 Abs. 4 AsylG) ist aufgrund der vorliegenden Sachlage die Sache im Sinne des soeben Gesagten an das SEM zurückzuweisen.</w:t>
      </w:r>
    </w:p>
    <w:p>
      <w:r>
        <w:rPr>
          <w:b/>
        </w:rPr>
        <w:t>E. 4.3</w:t>
      </w:r>
    </w:p>
    <w:p>
      <w:r>
        <w:t>Die Beschwerde ist somit gutzuheissen, soweit darin die Aufhebung der angefochtenen Verfügung beantragt wird. Die Sache ist zur Neubeurteilung in Koordination mit dem Asylverfahren betreffend den Ehemann der Beschwerdeführerin an das SEM zurückzuweisen.</w:t>
      </w:r>
    </w:p>
    <w:p>
      <w:r>
        <w:rPr>
          <w:b/>
        </w:rPr>
        <w:t>E. 5</w:t>
      </w:r>
    </w:p>
    <w:p>
      <w:r>
        <w:t>Bei diesem Ausgang des Verfahrens sind keine Verfahrenskosten zu erheben (Art. 63 Abs. 1 und 2 VwVG).</w:t>
      </w:r>
    </w:p>
    <w:p>
      <w:r>
        <w:rPr>
          <w:b/>
        </w:rPr>
        <w:t>E. 6</w:t>
      </w:r>
    </w:p>
    <w:p>
      <w:r>
        <w:t>Obsiegende Parteien haben Anspruch auf eine Parteientschädigung für die ihnen erwachsenen notwendigen Kosten (Art. 64 Abs. 1 VwVG i.V.m. Art. 7 des Reglements vom 21. Februar 2008 über die Kosten und Entschädigungen vor dem Bundesverwaltungsgericht [VGKE, SR 173.320.2]). Seitens der Rechtsvertretung der Beschwerdeführenden wurde keine Kostennote eingereicht. Auf die Nachforderung einer solchen kann indes verzichtet werden, da der Aufwand im vorliegenden Verfahren zuverlässig abgeschätzt werden kann (Art. 14 Abs. 2 VGKE). Die von der Vorinstanz zu entrichtende Parteientschädigung ist von Amtes wegen und in Berücksichtigung der massgeblichen Bemessungsfaktoren (Art. 8 ff. VGKE) auf Fr. 600.- (inkl. allfällige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