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D-6619/2015 vom 30. Juni 2017</w:t>
      </w:r>
    </w:p>
    <w:p>
      <w:r>
        <w:t>Bundesverwaltungsgericht, 2017-06-30, DE</w:t>
      </w:r>
    </w:p>
    <w:p>
      <w:r>
        <w:rPr>
          <w:b/>
        </w:rPr>
        <w:t xml:space="preserve">Quelle: </w:t>
      </w:r>
      <w:r>
        <w:t>https://mcp.opencaselaw.ch/entscheid/bvger_D-6619_2015</w:t>
      </w:r>
    </w:p>
    <w:p>
      <w:r>
        <w:t>FR: TAF D-6619/2015 du 30 juin 2017</w:t>
      </w:r>
    </w:p>
    <w:p>
      <w:r>
        <w:t>IT: TAF D-6619/2015 del 30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1.3</w:t>
      </w:r>
    </w:p>
    <w:p>
      <w:r>
        <w:t>Das am (...) geborene Kind F._______ wird in das vorliegende Verfahren einbezogen.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Ein Abgleich der Fingerabdrücke der Beschwerdeführerin mit der "Eurodac"-Datenbank ergab, dass sie am 1. Juli 2015 in Ungarn daktyloskopisch erfasst worden war. Das SEM ersuchte deshalb die ungarischen Behörden am 30. Juli 2015 um Übernahme der Beschwerdeführenden. Die ungarischen Behörden liessen das Übernahmeersuchen innert der in Art. 25 Abs. 1 Dublin-III-VO vorgesehenen Frist unbeantwortet, womit sie die Zuständigkeit Ungarns implizit anerkannten (Art. 25 Abs. 2 Dublin-III-VO). Die grundsätzliche Zuständigkeit Ungarns wäre somit gegeben. Diese ist von den Beschwerdeführenden denn auch nicht bestritten worden.</w:t>
      </w:r>
    </w:p>
    <w:p>
      <w:r>
        <w:rPr>
          <w:b/>
        </w:rPr>
        <w:t>E. 6.1</w:t>
      </w:r>
    </w:p>
    <w:p>
      <w:r>
        <w:t>Im Lichte von Art. 3 Abs. 2 Dublin-III-VO ist zu prüfen, ob es wesentliche Gründe für die Annahme gibt, das Asylverfahren und die Aufnahmebedingungen für Asylsuchende in Ungarn würden systemische Schwachstellen aufweisen, die eine Gefahr einer unmenschlichen oder entwürdigenden Behandlung im Sinne von Art. 4 EU-Grundrechtecharta mit sich bringen würden.</w:t>
      </w:r>
    </w:p>
    <w:p>
      <w:r>
        <w:rPr>
          <w:b/>
        </w:rPr>
        <w:t>E. 6.2</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6.3</w:t>
      </w:r>
    </w:p>
    <w:p>
      <w:r>
        <w:t>Mit derselben Begründung, wie sie vorstehend dargelegt wurde, ist es dem Gericht vorliegend nicht möglich, die in der Beschwerde vom 15. Oktober 2015 enthaltenen Vorbringen zu beurteilen. Die angefochtene Verfügung ist folglich aufzuheben und die Sache zur vollständigen Sachverhaltsfeststellung sowie zu neuer Entscheidung an die Vorinstanz zurückzuweisen. Somit erübrigt sich eine vertiefte Auseinandersetzung mit den einzelnen Parteivorbringen.</w:t>
      </w:r>
    </w:p>
    <w:p>
      <w:r>
        <w:rPr>
          <w:b/>
        </w:rPr>
        <w:t>E. 7.1</w:t>
      </w:r>
    </w:p>
    <w:p>
      <w:r>
        <w:t>Die Beschwerde ist somit gutzuheissen, soweit die Aufhebung der vor-instanzlichen Verfügung beantragt wurde.</w:t>
      </w:r>
    </w:p>
    <w:p>
      <w:r>
        <w:rPr>
          <w:b/>
        </w:rPr>
        <w:t>E. 8.1</w:t>
      </w:r>
    </w:p>
    <w:p>
      <w:r>
        <w:t>Bei diesem Ausgang des Verfahrens sind keine Kosten zu erheben (Art. 63 Abs. 1 und 2 VwVG). Die Gesuche um Gewährung der unentgeltlichen Prozessführung und um Verzicht auf die Erhebung eines Kostenvorschusses sind gegenstandslos geworden.</w:t>
      </w:r>
    </w:p>
    <w:p>
      <w:r>
        <w:rPr>
          <w:b/>
        </w:rPr>
        <w:t>E. 8.2</w:t>
      </w:r>
    </w:p>
    <w:p>
      <w:r>
        <w:t>Den im Verfahren nicht vertretenen Beschwerdeführenden sind gemäss den Akten keine notwendigen und verhältnismässig hohen Parteikosten gemäss Art. 64 Abs. 1 VwVG entstanden, weshalb ihnen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