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D-6618/2014 vom 23. Februar 2015</w:t>
      </w:r>
    </w:p>
    <w:p>
      <w:r>
        <w:t>Bundesverwaltungsgericht, 2015-02-23, DE</w:t>
      </w:r>
    </w:p>
    <w:p>
      <w:r>
        <w:rPr>
          <w:b/>
        </w:rPr>
        <w:t xml:space="preserve">Quelle: </w:t>
      </w:r>
      <w:r>
        <w:t>https://mcp.opencaselaw.ch/entscheid/bvger_D-6618_2014</w:t>
      </w:r>
    </w:p>
    <w:p>
      <w:r>
        <w:t>FR: TAF D-6618/2014 du 23 février 2015</w:t>
      </w:r>
    </w:p>
    <w:p>
      <w:r>
        <w:t>IT: TAF D-6618/2014 del 23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Beschwerdeführenden wurden bei den Erstbefragungen vorab auf die Verschwiegenheitspflicht der Schweizer Behörden hingewiesen. Auf Nachfragen bestätigten sie, diese Einleitung der Befragung verstanden zu haben. Nach ihren Spontanschilderungen wurden ihnen ergänzende beziehungsweise präzisierende Fragen - unter anderem auch zum politischen Engagement und zu behördlichen Schwierigkeiten - gestellt. Am Ende der Befragungen verneinten sie das Bestehen weiterer, bisher noch nicht erörterter Fluchtgründe. Ausserdem gaben sie an, die dolmetschende Person gut verstanden zu haben. Die festgehaltenen Aussagen entsprächen ihren Vorbringen. Entgegen den Beschwerdeargumenten sind die beiden Protokolle respektive Befragungen, in welchen die Beschwerdeführenden nach dem Gesagten gehalten waren, sämtliche fluchtrelevanten Ereignisse zumindest ansatzweise zu erwähnen, nicht zu beanstanden. Die ferner gerügte Rubrik 8.1. "Rechtliches Gehör? Nein" ist allenfalls missverständlich, da sich das "nein" wohl nicht auf die Aussage der befragten Person, sondern auf das fehlende Erfordernis einer Gehörsgewährung bezieht; entscheidwesentlich ist diese Protokollstelle aber in keiner Weise. Entsprechend müssen sich die Beschwerdeführenden bei ihren Aussagen behaften lassen.</w:t>
      </w:r>
    </w:p>
    <w:p>
      <w:r>
        <w:rPr>
          <w:b/>
        </w:rPr>
        <w:t>E. 5.1</w:t>
      </w:r>
    </w:p>
    <w:p>
      <w:r>
        <w:t>Der Beschwerdeführer hat die angebliche behördliche Vorsprache verbunden mit einer Vorladung bei der Erstbefragung nicht erwähnt und erst anlässlich der Anhörung vorgebracht. Auch in Berücksichtigung des summarischen Charakters dieser Befragung wäre nach dem Gesagten aber zu erwarten gewesen, dass er einen solchen aus seiner Sicht ausrelevanten Vorfall bereits damals erwähnt hätte. Dies tat er aber nicht und gab vielmehr explizit zu Protokoll, mit den Behörden keine Probleme gehabt zu haben. Dadurch steht dieses nachgeschobene Vorbringen in klarem Widerspruch zu Antworten anlässlich der Erstbefragung. Das BFM weist sodann zurecht auf kaum substanziierte Angaben des Beschwerdeführers sowohl zu seinen Teilnahmen an Demonstrationen wie der behördlichen Vorgehensweise gegen seine Person hin (vgl. A 14/15 Antworten 5 ff. und 53 ff.). Falls überhaupt ist er entsprechend lediglich im Rahmen eines niederschwelligen Profils an Protestkundgebungen in Erscheinung getreten. Am Schluss der Anhörung war er nicht in der Lage, die Unglaubhaftigkeitselemente erklärbar zu machen (a.a.O. Antworten 83 ff.). Auch die Beschwerdeargumente rechtfertigen keine andere Einschätzung. Vierlmehr fehlen für die geltend gemachte Traumatisierung - unbesehen der nicht feststehenden Wirkungen auf das Aussageverhalten - konkrete Anhaltspunkte in den Akten. Das eingereichte behördliche Dokument, dessen Beschaffungsumstände doch eher konstruiert anmuten (a.a.O. Antworten 14 ff.), ist vom BFM zurecht als nicht hinreichend beweistauglich eingestuft worden. Nach dem Gesagten ist nicht davon auszugehen, dass der Beschwerdeführer vor der Ausreise in der geschilderten Art im Fokus der Sicherheitskräfte stand.</w:t>
      </w:r>
    </w:p>
    <w:p>
      <w:r>
        <w:rPr>
          <w:b/>
        </w:rPr>
        <w:t>E. 5.2</w:t>
      </w:r>
    </w:p>
    <w:p>
      <w:r>
        <w:t>Die Beschwerdeführerin äussert nachvollziehbare Befürchtungen wegen drohender Gewaltdelikte aufgrund des Bürgerkriegs. Dass ihr eine solche Gewalttat konkret gedroht hätte, kann ihren Aussagen indes nicht entnommen werden. Auch die Teilnahme an der besagten Frauenkonferenz soll nicht mit relevanten Nachteilen verbunden gewesen sein (A 15/10 Antwort 34).</w:t>
      </w:r>
    </w:p>
    <w:p>
      <w:r>
        <w:rPr>
          <w:b/>
        </w:rPr>
        <w:t>E. 5.3</w:t>
      </w:r>
    </w:p>
    <w:p>
      <w:r>
        <w:t>Die übri­gen Vorbringen - diskriminiertes Dasein als Angehörige der kurdischen Ethnie, generelle Drohungen auch bei der Arbeit im Spital und furchteinflössende Taxigäste verbunden mit prekärer Sicherheitslage - sind vom BFM unbesehen der Glaubhaftigkeit zurecht als nicht ernst­hafte Nachteile beziehungs­weise als Ausdruck der generellen Lage vor Ort qualifiziert wor­den. Stichhaltige Beschwerdeargumente für eine andere Sichtweise feh­len.</w:t>
      </w:r>
    </w:p>
    <w:p>
      <w:r>
        <w:rPr>
          <w:b/>
        </w:rPr>
        <w:t>E. 5.4</w:t>
      </w:r>
    </w:p>
    <w:p>
      <w:r>
        <w:t>Schliesslich gab der Beschwerdeführer bei der Anhörung vom 30. Juni 2014 - nach der Erwähnung einer Demonstration gegen ISIS - an, sich nicht exilpolitisch zu betätigen; die Beerdigungszeremonie seines Cousins habe aber im (...)-Lokal stattgefunden. Eine entsprechende Videofrequenz sei im Fernsehen gezeigt worden (A 14/15 Antworten 17 f. und 79). Entgegen den Rekursvorbringen ist mithin nicht davon auszuge­hen, dass er oder seine Gattin wegen ihrer Aktivitäten entscheidend in den Fokus der Behörden geraten wären. Diesbezüglich kann erneut auf die vorinstanzlichen Erwägungen hingewiesen werden. In der Beschwerde und den übrigen Akten fehlen jedenfalls substanziierte Hinweise, die auf ein herausragendes oder zumindest substanzielles Engagement in der Schweiz verbunden mit flüchtlingsrechtlichen Konsequenzen hindeuten würden (vgl. BVGE E-919/2014 vom 6. November 2014 E. 7).</w:t>
      </w:r>
    </w:p>
    <w:p>
      <w:r>
        <w:rPr>
          <w:b/>
        </w:rPr>
        <w:t>E. 5.5</w:t>
      </w:r>
    </w:p>
    <w:p>
      <w:r>
        <w:t>Unter Berücksichtigung der gesamten Umstände folgt, dass die Be­schwerdeführenden keine Gründe nach Art. 3 AsylG nachweisen oder glaub­haft machen konnten. Die Vorinstanz hat die Flüchtlingseigen­schaft zu Recht verneint und die Asylgesuche abgelehnt. An dieser Einschät­zung ver­mögen die weiteren Ausführungen in den Eingaben mangels Stichhaltig­keit nichts zu ändern. Auch die Beweismittel - soweit sie sich überhaupt auf flüchtlingsrechtlich relevante Sachverhalte beziehen - rechtfertigen nach dem Gesag­ten keine andere Beurteilung.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w:t>
      </w:r>
    </w:p>
    <w:p>
      <w:r>
        <w:t>Die Beschwerdeführenden wurden vom BFM mit Entscheid vom 13. Oktober 2014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Nachdem ihr Gesuch im Sinne von Art. 65 Abs. 1 VwVG mit Zwischenverfügung vom 17. November 2014 gutgeheissen wurde und sich ihre finanzielle Situation seither nicht entscheidwesentlich verändert hat, erfolgt keine Kostenauflage.</w:t>
      </w:r>
    </w:p>
    <w:p>
      <w:r>
        <w:rPr>
          <w:b/>
        </w:rPr>
        <w:t>E. 9.2</w:t>
      </w:r>
    </w:p>
    <w:p>
      <w:r>
        <w:t>Mit Zwischenverfügung vom 2. Dezember 2014 wurde ausserdem das Gesuch um amtliche Verbeiständung gutgeheissen (Art. 110a Abs. 1 VwVG) und den Beschwerdeführenden der Rechtsvertreter als Rechtsbeistand zugeordnet. Da sich der Aufwand zuverlässig abschätzen lässt, erübrigt sich die beantragte Einholung einer Kostennote. Unter Berücksichtigung der massgebenden Bemessungsfaktoren (Art. 9-13 des Reglements vom 21. Februar 2008 über die Kosten und Entschädigungen vor dem Bundesverwaltungsgericht [VGKE, SR 173.320.2]) ist ihm eine Entschädigung in der Höhe von Fr. 1'400.-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