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D-6615/2023 vom 7. Dezember 2023</w:t>
      </w:r>
    </w:p>
    <w:p>
      <w:r>
        <w:t>Bundesverwaltungsgericht, 2023-12-07, DE</w:t>
      </w:r>
    </w:p>
    <w:p>
      <w:r>
        <w:rPr>
          <w:b/>
        </w:rPr>
        <w:t xml:space="preserve">Quelle: </w:t>
      </w:r>
      <w:r>
        <w:t>https://mcp.opencaselaw.ch/entscheid/bvger_D-6615_2023</w:t>
      </w:r>
    </w:p>
    <w:p>
      <w:r>
        <w:t>FR: TAF D-6615/2023 du 7 décembre 2023</w:t>
      </w:r>
    </w:p>
    <w:p>
      <w:r>
        <w:t>IT: TAF D-6615/2023 del 7 dicembre 2023</w:t>
      </w:r>
    </w:p>
    <w:p>
      <w:pPr>
        <w:pStyle w:val="Heading2"/>
      </w:pPr>
      <w:r>
        <w:t>Regeste</w:t>
      </w:r>
    </w:p>
    <w:p>
      <w:r>
        <w:t>Nichteintreten auf Asylgesuch und Wegweisung (Dublin-Verfahren - Art. 31a Abs. 1 Bst. b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Susanne Bolz-Reimann Irina Wyss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