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D-6612/2020 vom 17. April 2023</w:t>
      </w:r>
    </w:p>
    <w:p>
      <w:r>
        <w:t>Bundesverwaltungsgericht, 2023-04-17, DE</w:t>
      </w:r>
    </w:p>
    <w:p>
      <w:r>
        <w:rPr>
          <w:b/>
        </w:rPr>
        <w:t xml:space="preserve">Quelle: </w:t>
      </w:r>
      <w:r>
        <w:t>https://mcp.opencaselaw.ch/entscheid/bvger_D-6612_2020</w:t>
      </w:r>
    </w:p>
    <w:p>
      <w:r>
        <w:t>FR: TAF D-6612/2020 du 17 avril 2023</w:t>
      </w:r>
    </w:p>
    <w:p>
      <w:r>
        <w:t>IT: TAF D-6612/2020 del 17 aprile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D-6612/2020 Seite 11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Wie in der Zwischenverfügung vom 3. Februar 2023 festgehalten, wurden die Beschwerdeverfahren D-6612/2020 und D-1791/2020 aufgrund des engen sachlichen Zusammenhangs koordiniert behandelt und die Akten der Familienmitglieder beigezogen. Die Urteile ergehen zeitgleich und mit demselben Spruchgremium. Im Beschwerdeverfahren D-1916/2020 be- treffend den ältesten Sohn I._______ ergeht ebenfalls zeitgleich ein Urteil desselben Spruchkörpers.</w:t>
      </w:r>
    </w:p>
    <w:p>
      <w:r>
        <w:rPr>
          <w:b/>
        </w:rPr>
        <w:t>E. 3</w:t>
      </w:r>
    </w:p>
    <w:p>
      <w:r>
        <w:t>Die Kognition des Bundesverwaltungsgerichts und die zulässigen Rügen richten sich im Asylbereich nach Art. 106 Abs. 1 AsylG.</w:t>
      </w:r>
    </w:p>
    <w:p>
      <w:r>
        <w:rPr>
          <w:b/>
        </w:rPr>
        <w:t>E. 4.1</w:t>
      </w:r>
    </w:p>
    <w:p>
      <w:r>
        <w:t>Vorab sind die formellen Rügen des Beschwerdeführers betreffend Ver- 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w:t>
      </w:r>
    </w:p>
    <w:p>
      <w:r>
        <w:t>D-6612/2020 Seite 12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4.3</w:t>
      </w:r>
    </w:p>
    <w:p>
      <w:r>
        <w:t>Der Beschwerdeführer rügte, das SEM habe keine Einsicht in die Akten A10 und A37 und die von C._______ bei der Anhörung vom 29. November 2018 vorgelegte DVD gewährt. Diesbezüglich ist auf die Zwischenverfü- gung im Verfahren D-1791/2020 vom 3. Juni 2020 zu verweisen. In dieser wurde bereits festgestellt, dass hinsichtlich der Akten A10 (Bericht Identi- tätsabklärung) und A37 (Dokumentenanalyse [Pässe und Identitätskarten]) keine Verletzung des Akteneinsichtsrechts vorliegt. Der Aufforderung, die im Beweismittelumschlag liegende, aber (noch) nicht akturierte DVD in das Beweismittelverzeichnis aufzunehmen und dem Rechtsvertreter Einsicht in diese zu gewähren, ist das SEM nachgekommen (vgl. A14 und Schreiben vom 16. Juni 2020), so dass, wenn überhaupt, keine Verletzung der Akten- führungspflicht und des Einsichtsrechts (mehr) vorliegt.</w:t>
      </w:r>
    </w:p>
    <w:p>
      <w:r>
        <w:rPr>
          <w:b/>
        </w:rPr>
        <w:t>E. 4.4</w:t>
      </w:r>
    </w:p>
    <w:p>
      <w:r>
        <w:t>Bezüglich der Rüge, die Akten betreffend das Einreisevisum hätten bei- gezogen und Einsicht in diese gewährt werden müssen, ist festzuhalten, dass Visumsakten (z. B. Befragungsprotokolle im Zusammenhang mit dem Ersuchen um ein humanitäres Visum), falls solche existieren, zwar poten- ziell Hinweise auf asylbedeutsame Umstände liefern können, aber nicht müssen (vgl. bspw. Urteile des BVGer E-1768/2020 vom 5. Mai 2020 E. 6.3, E-5101/2015 vom 2. Oktober 2017 E. 3.2.3 und E-1298/2015 vom 26. September 2016 E. 5.3.2). Der Beschwerdeführer hat im vorinstanzli- chen Verfahren lediglich erwähnt, mit einem Visum eingereist zu sein, aber nicht dargelegt, dass er im N._______ zu den Fluchtgründen befragt wor- den sei. Es ist daher nicht ersichtlich, inwiefern das SEM mangels Beizugs</w:t>
      </w:r>
    </w:p>
    <w:p>
      <w:r>
        <w:t>D-6612/2020 Seite 13 besagter Akten im vorinstanzlichen Verfahren den Gehörsanspruch des Beschwerdeführers verletzt haben sollte. Erst auf Beschwerdeebene hat der Beschwerdeführer angegeben, dass vor der Visumsausstellung eine Befragung erfolgt sei. Nachdem das SEM daraufhin die Visumsakten bei- gezogen und dem Beschwerdeführer Einsicht in diese gewährt hat, erübri- gen sich weitere Ausführungen zur Frage der Notwendigkeit des entspre- chenden Aktenbeizugs. Dies umso mehr, als sich aus den Akten keine Hin- weise auf massgebliche Befragungen ergeben.</w:t>
      </w:r>
    </w:p>
    <w:p>
      <w:r>
        <w:rPr>
          <w:b/>
        </w:rPr>
        <w:t>E. 4.5</w:t>
      </w:r>
    </w:p>
    <w:p>
      <w:r>
        <w:t>Auch mit dem Einwand, der Beizug der Dossiers der Verwandten von C._______ hätte in einer Aktennotiz festgehalten werden müssen, vermag der Beschwerdeführer keine Gehörsverletzung darzutun. Zieht die Vo- rinstanz das Dossier eines Verwandten bei und berücksichtigt dieses, sollte dies Niederschlag im Asylentscheid finden (vgl. statt vieler Urteil des BVGer E-4122/2016 vom 16. August 2016 E. 6.2.4). Vorliegend ist aus der angefochtenen Verfügung ersichtlich, dass das SEM die Akten der Ge- schwister und Eltern von C._______ konsultiert und bei seinem Entscheid berücksichtigt hat (vgl. S. 6-7 der Verfügung vom 27. Februar 2020). Der Beschwerdeführer hatte die besagten Verwandten im vorinstanzlichen Ver- fahren nicht erwähnt und C._______ hatte im Rahmen ihrer Befragungen nicht geltend gemacht, dass sie wegen ihrer Verwandten in Syrien persön- lich verfolgt worden sei, respektive dass eine direkte Verbindung zu ihren Fluchtgründen bestehen würde. Für das SEM bestanden denn auch keine objektiven Gründe, dem Beschwerdeführer vor dem Erlass der Verfügung das rechtliche Gehör zu den Ergebnissen des besagten Aktenbeizugs be- ziehungsweise zu seiner Einschätzung einer Reflexverfolgungsgefahr zu gewähren (vgl. hierzu etwa Urteile des BVGer E-1768/2020 vom 5. Mai 2020 E. 6.5, E-4122/2016 vom 16. August 2016 E. 6.2.4 m.w.H).</w:t>
      </w:r>
    </w:p>
    <w:p>
      <w:r>
        <w:rPr>
          <w:b/>
        </w:rPr>
        <w:t>E. 4.6</w:t>
      </w:r>
    </w:p>
    <w:p>
      <w:r>
        <w:t>Die Rüge, das SEM habe die Pflicht zur Erstellung des rechtserhebli- chen Sachverhalts verletzt, indem es bei der Anhörung von C._______ keine Rückfragen zu deren Aktivitäten gestellt und nicht alle Aussagen in der Verfügung erwähnt habe, geht ebenfalls fehl. C._______ wurde bei der Anhörung vom 29. November 2018 detailliert zu ihren Asylgründen befragt und es wurden viele (Nach-)Fragen zu ihren Aktivitäten gestellt. In der Ver- fügung vom 27. Februar 2020 hat sich das SEM zwar nicht mit jeder An- gabe einzeln auseinandergesetzt, dies ist aber auch nicht notwendig, wie vorstehend ausgeführt (vgl. E. 4.2). Der Sachverhalt ist genügend ausführ- lich dargestellt und entgegen der Behauptung des Beschwerdeführers hat das SEM den Wohnort (J._______) und die dortige Situation ausdrücklich berücksichtigt (vgl. S. 2 Ziff. 5 und 6 sowie S. 5 Ziff. 2 der Verfügung vom</w:t>
      </w:r>
    </w:p>
    <w:p>
      <w:r>
        <w:t>D-6612/2020 Seite 14 27. Februar 2020). Auch wenn der Beschwerdeführer erwähnt hat, dass sein Facebook-Konto zeitweilig gesperrt gewesen sei, hat er klar zu Proto- koll gegeben, dass er selbst nicht politisch aktiv gewesen sei und sich die Verfolgung gegen C._______ gerichtet habe. Aus der vorinstanzlichen Ver- fügung ist ersichtlich, von welchen Kriterien sich das SEM hat leiten lassen und weshalb es zum vorliegenden Ergebnis gelangte. Der Entscheid konnte sachgerecht angefochten werden. Eine Gehörsverletzung liegt nicht vor. Dass das SEM nach einer gesamtheitlichen Würdigung zu einem anderen Schluss als der Beschwerdeführer gelangt ist, stellt keine Verlet- zung des Untersuchungsgrundsatzes dar. Die Würdigung des Sachver- halts bildet Gegenstand des Beschwerdeverfahrens.</w:t>
      </w:r>
    </w:p>
    <w:p>
      <w:r>
        <w:rPr>
          <w:b/>
        </w:rPr>
        <w:t>E. 4.7</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w:t>
      </w:r>
    </w:p>
    <w:p>
      <w:r>
        <w:t>D-6612/2020 Seite 15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Stattdessen werden Personen, die subjektive Nach- 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die Flüchtlingseigenschaft gemäss Art. 3 AsylG nicht zu begründen vermag.</w:t>
      </w:r>
    </w:p>
    <w:p>
      <w:r>
        <w:rPr>
          <w:b/>
        </w:rPr>
        <w:t>E. 6.2</w:t>
      </w:r>
    </w:p>
    <w:p>
      <w:r>
        <w:t>Der Beschwerdeführer berief sich auf Aktivitäten seiner Ex-Frau C._______. Er brachte vor, diese habe sich in ihrem Wohnviertel in J._______ in einem kurdischen Frauenverein für die Rechte von Frauen engagiert und sei deswegen in Gefahr gewesen. Er selbst sei nicht politisch aktiv gewesen, sondern habe nur C._______ bei ihren Aktivitäten in admi- nistrativer Hinsicht unterstützt. In Bezug auf die Beurteilung des Engage- ments von C._______ ist auf das Urteil D-1791/2020 vom heutigen Tag zu verweisen. Demnach ist zwar nicht auszuschliessen, dass C._______ sich aus Interesse für die Situation kurdischer Frauen in einer der PYD nahe- stehenden Frauengruppe in ihrer Wohngegend engagiert hat, ihr Engage- ment ist aber als niederschwellig einzustufen. C._______ vermochte mit ihren Vorbringen nicht glaubhaft darzulegen, dass sie wegen ihres Enga- gements im Bereich der Frauenrechte persönlich ins Visier der syrischen Behörden oder anderer Bürgerkriegsparteien geraten und von diesen als</w:t>
      </w:r>
    </w:p>
    <w:p>
      <w:r>
        <w:t>D-6612/2020 Seite 16 ernstzunehmende Gegnerin eingestuft worden sei, und sie deswegen Ver- folgungsmassnahmen von asylrelevanter Intensität erlebt hätte oder ihr im Zeitpunkt der Ausreise aus Syrien solche gedroht hätten. Auch der Be- schwerdeführer vermochte solches nicht glaubhaft zu machen. Seine Aus- führungen blieben undifferenziert und widersprüchlich, gab er doch zu- nächst pauschal an, C._______ sei vom syrischen Regime und von der FSA bedroht worden, konkretisierte dann, dass sie lediglich von einer Per- son oder mehreren Personen angesprochen und zur Einstellung ihrer Tä- tigkeit aufgefordert worden sei, und berichtigte schliesslich, dass sie gar nicht direkt bedroht worden sei, sondern sich nur generell vor Schläferzel- len beziehungsweise Spitzeln des Regimes, der FSA oder der al Nusra- Front gefürchtet habe. Nachdem nicht glaubhaft ist, dass C._______ we- gen ihres Engagements in asylrechtlich relevanter Weise verfolgt worden sei, liegen auch keine konkreten Anhaltspunkte dafür vor, dass der Be- schwerdeführer aufgrund der Aktivitäten von C._______ einer asylrelevan- ten Gefährdung ausgesetzt gewesen wäre, respektive dass ihm in diesem Zusammenhang Verfolgungsmassnahmen asylbeachtlichen Ausmasses gedroht hätten. Mit den Vorbringen, dass er zwei Mal wegen C._______ auf der Strasse mutmasslich von Angehörigen der FSA bedroht und sein Facebook-Konto zeitweilig gesperrt worden sei, vermag er jedenfalls nicht darzulegen, dass er Verfolgungsmassnahmen asylbeachtlichen Ausmas- ses erlitten habe beziehungsweise ihm solche gedroht hätten. Hätte sei- tens der syrischen Behörden ein Interesse an der Verfolgung der Person des Beschwerdeführers bestanden, wäre ihm wohl kaum im (…) 2017 von den heimatlichen Behörden ein Reisepass ausgestellt worden. Inwiefern der Beschwerdeführer wegen des vorgebrachten Interessens der FSA an einer Rekrutierung des Sohnes I._______ relevante Nachteile er- litten oder zu befürchten gehabt hätte, legte er nicht dar. Im Übrigen steht dieses Vorbringen im Widerspruch zu den Angaben von C._______, wo- nach sie nicht von der FSA, sondern von Shabiha-Mitgliedern zwecks Rek- rutierung von I._______ aufgesucht worden seien. Aber selbst bei Wahr- unterstellung des besagten Vorbringens des Beschwerdeführers, ver- mochte er in diesem Zusammenhang keine Asylgründe substanziiert dar- zulegen. Gleiches gilt für das – gänzlich unsubstanziierte – Vorbringen, alle möglichen weiteren Seiten hätten ebenfalls Interesse an einer Rekrutie- rung von I._______ gehabt.</w:t>
      </w:r>
    </w:p>
    <w:p>
      <w:r>
        <w:rPr>
          <w:b/>
        </w:rPr>
        <w:t>E. 6.3</w:t>
      </w:r>
    </w:p>
    <w:p>
      <w:r>
        <w:t>Es ergeben sich vorliegend auch keine konkreten Anhaltspunkte dafür, dass dem Beschwerdeführer im Falle einer heutigen (hypothetischen) Rückkehr nach Syrien mit hoher Wahrscheinlichkeit wegen Geschwistern</w:t>
      </w:r>
    </w:p>
    <w:p>
      <w:r>
        <w:t>D-6612/2020 Seite 17 von C._______, denen hierzulande Asyl gewährt wurde, lange bevor der Beschwerdeführer aus Syrien ausgereist ist, gezielte Reflexverfolgungs- massnahmen flüchtlingsrechtlicher Intensität drohen würden.</w:t>
      </w:r>
    </w:p>
    <w:p>
      <w:r>
        <w:rPr>
          <w:b/>
        </w:rPr>
        <w:t>E. 6.4</w:t>
      </w:r>
    </w:p>
    <w:p>
      <w:r>
        <w:t>Hinsichtlich der weiteren, im Zusammenhang mit der Bürgerkriegssitu- ation in Syrien stehenden Vorbringen des Beschwerdeführers (Beschädi- gung seines (…) durch eine Bombe und anschliessende Plünderung des (…), durch Bombardements bedingte Umzüge, psychische Belastung) ist darauf hinzuweisen, dass die Zuerkennung der Flüchtlingseigenschaft nach schweizerischer Rechtsprechung den gezielten, auf die betreffende Person individuell fokussierten Willen des Verfolgers erfordert, diese be- stimmte Person unmittelbar ernsthaften Nachteilen im Sinne des Gesetzes zu unterwerfen. Vorliegend kann aus den besagten Vorbringen des Be- schwerdeführers nicht auf eine solche gezielte, individuelle Verfolgung im Sinne von Art. 3 AsylG geschlossen werden. Auch die kurdische Ethnie des Beschwerdeführers genügt allein nicht, um eine flüchtlingsrechtlich rele- vante individuelle Verfolgung anzunehmen. Gemäss geltender Rechtspre- chung ist nicht davon auszugehen, dass syrische Staatsangehörige kurdi- scher Ethnie in einem derart breiten und umfassenden Ausmass unter An- feindungen zu leiden hätten, dass von einer Kollektivverfolgung ausgegan- gen werden müsste. Auch unter dem Gesichtspunkt der veränderten Lage, insbesondere seit dem Einmarsch der türkischen Truppen in Nordsyrien, ist nicht davon auszugehen, dass sämtliche in Syrien und insbesondere in Nordsyrien verbliebenen Kurden derzeit eine objektiv begründete Furcht vor einer Verfolgung hätten. Der bürgerkriegsbedingten Gefährdungslage und der fortbestehenden Volatilität der Entwicklung in Syrien wurde von der Vorinstanz im Rahmen des Wegweisungsvollzugs respektive der in diesem Zusammenhang angeordneten vorläufigen Aufnahme des Beschwerdefüh- rers Rechnung getragen.</w:t>
      </w:r>
    </w:p>
    <w:p>
      <w:r>
        <w:rPr>
          <w:b/>
        </w:rPr>
        <w:t>E. 6.5</w:t>
      </w:r>
    </w:p>
    <w:p>
      <w:r>
        <w:t>Nachdem keine individuelle Verfolgungssituation im Sinne von Art. 3 AsylG vorliegt, ist schliesslich gemäss konstanter Praxis auch nicht von einer flüchtlingsrechtlich relevanten Verfolgung des Beschwerdeführers al- lein aufgrund der Ausreise aus Syrien, die illegal erfolgt sei, und der Asyl- gesuchstellung im Ausland auszugehen (vgl. Referenzurteil des BVGer E-2943/2019 vom 6. Juli 2022 E. 7.4 und u. a. Urteil des BVGer D- 6903/2019 vom 28. April 2021 E. 5.6), weshalb auch das Vorliegen subjek- tiver Nachfluchtgründe zu verneinen ist.</w:t>
      </w:r>
    </w:p>
    <w:p>
      <w:r>
        <w:rPr>
          <w:b/>
        </w:rPr>
        <w:t>E. 6.6</w:t>
      </w:r>
    </w:p>
    <w:p>
      <w:r>
        <w:t>Zusammenfassend ist es dem Beschwerdeführer nicht gelungen, nachzuweisen oder zumindest glaubhaft zu machen, im Zeitpunkt der</w:t>
      </w:r>
    </w:p>
    <w:p>
      <w:r>
        <w:t>D-6612/2020 Seite 18 Ausreise aus Syrien im Sommer 2018 asyl- respektive flüchtlingsrechtlich relevanter Verfolgung gemäss Art. 3 AsylG ausgesetzt gewesen zu sein. Konkrete Anhaltspunkte für eine objektiv begründete Furcht vor einer künf- tigen gezielten (Reflex-)Verfolgung des Beschwerdeführers asylbeachtli- chen Ausmasses im Sinne von Art. 3 AsylG durch die syrischen Behörden oder Drittpersonen liegen aufgrund der Aktenlage ebenfalls nicht vor. Das SEM hat demnach die Flüchtlingseigenschaft zu Recht verneint und das Asylgesuch zutreffend abgelehnt. Es erübrigt sich, auf die diesbezüglichen weiteren Ausführungen in den Rechtsmitteleingaben näher einzugehen, da sie an der vorliegenden Würdigung des Sachverhalts nichts zu ändern ver- 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in seiner Verfügung vom 27. Februar 2020 die vor- läufige Aufnahme des Beschwerdeführers in der Schweiz angeordnet hat, erübrigen sich praxisgemäss weitere Ausführungen zur Durchführbarkeit des Wegweisungsvollzugs. Mit dem vorliegenden Entscheid tritt die vorläu- fige Aufnahme formell in Kraft. Präzisierend ist festzuhalten, dass sich aus den vorstehenden Erwägungen nicht der Schluss ergibt, der Beschwerde- führer sei zum heutigen Zeitpunkt in seinem Heimatstaat nicht gefährdet. Eine solche Gefährdungslage ist jedoch auf die in Syrien immer noch herr- schende Bürgerkriegssituation zurückzuführen. Das SEM hat dieser gene- rellen Gefährdung mit der vorläufigen Aufnahme des Beschwerdeführers wegen Unzumutbarkeit des Wegweisungsvollzugs Rechnung getragen (Art. 83 Abs. 1 und 4 AIG).</w:t>
      </w:r>
    </w:p>
    <w:p>
      <w:r>
        <w:t>D-6612/2020 Seite 19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Da ihm jedoch mit Zwischenverfügung vom 3. Juni 2020 die unentgeltliche Prozessführung gemäss Art. 65 Abs. 1 VwVG gewährt wurde und weiterhin von dessen pro- zessualer Bedürftigkeit auszugehen ist, ist von der Kostenerhebung abzu- sehen. (Dispositiv nächste Seite)</w:t>
      </w:r>
    </w:p>
    <w:p>
      <w:r>
        <w:t>D-6612/2020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