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D-6612/2014 vom 4. Mai 2015</w:t>
      </w:r>
    </w:p>
    <w:p>
      <w:r>
        <w:t>Bundesverwaltungsgericht, 2015-05-04, DE</w:t>
      </w:r>
    </w:p>
    <w:p>
      <w:r>
        <w:rPr>
          <w:b/>
        </w:rPr>
        <w:t xml:space="preserve">Quelle: </w:t>
      </w:r>
      <w:r>
        <w:t>https://mcp.opencaselaw.ch/entscheid/bvger_D-6612_2014</w:t>
      </w:r>
    </w:p>
    <w:p>
      <w:r>
        <w:t>FR: TAF D-6612/2014 du 4 mai 2015</w:t>
      </w:r>
    </w:p>
    <w:p>
      <w:r>
        <w:t>IT: TAF D-6612/2014 del 4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Im vorliegenden Fall wurde der Beschwerdeführer von der Botschaft in Khartum zu seinem Asylgesuch nicht befragt. Indes wurde ihm im Rahmen des rechtlichen Gehörs mittels Schreiben vom 5. Juli 2013 zur weiteren Konkretisierung seiner Asylgründe aufgefordert (vgl. Bst. B.a hiervor). In Verbindung mit den bereits vorgängig enthaltenen Fragestellungen sowie den entsprechenden Antworten des Beschwerdeführers dazu (vgl. Bstn. B.a und B.b hiervor) konnte das SEM letztlich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der Beschwerdeführer in allen seinen Eingaben grundsätzlich auf den gleichen Sachverhalt berief. Aufgrund der Schilderungen des Beschwerdeführers durfte das SEM davon ausgehen, dass sämtliche für die Beurteilung des Asylgesuches aus dem Ausland notwendigen Sachverhaltsaspekte vorgebracht wurden. Das SEM ist zudem der Begründungspflicht des Anhörungsverzichts nachgekommen, so dass im vorliegenden Verfahren dem Anspruch des Beschwerdeführers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überzeugend dargelegt hat, weshalb den Verfolgungsvorbringen des Beschwerdeführers keine einreiserelevante Bedeutung zukommt. Es kann deshalb vorab auf die vorinstanzlichen Erwägungen verwiesen werden (vgl. vorstehend Bst. D.). Der Beschwerdeführer hält sich in einem Drittstaat, dem Sudan, auf. Zwar anerkennt das Bundesverwaltungsgericht, dass die Umstände im Sudan schwierig und teilweise unbefriedigend sind. Dennoch sind sie nicht dergestalt, dass auch ohne Bezug zur Schweiz eine Einreise in die Schweiz bewilligt werden müsste (vgl. Entscheidungen und Mitteilungen der Schweizerischen Asylrekurskommission [EMARK] 2005 Nr. 19). Das Bundesverwaltungsgericht schliesst sich somit den Ausführungen der Vorinstanz vollumfänglich an, zumal sich aus der Beschwerde nichts ergibt, was die Erwägungen der Vorinstanz entkräften könnte. 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Das SEM hat dem Beschwerdeführer zu Recht die Einreise in die Schweiz verweigert und das Asylgesuch abgelehnt.</w:t>
      </w:r>
    </w:p>
    <w:p>
      <w:r>
        <w:rPr>
          <w:b/>
        </w:rPr>
        <w:t>E. 7</w:t>
      </w:r>
    </w:p>
    <w:p>
      <w:r>
        <w:t>Aus diesen Erwägungen ergibt sich, dass die angefochtene Verfügung Bundesrecht nicht verletzt und den rechtserheblichen Sachverhalt richtig und vollständig feststellt (Art. 106 Abs. 1 AsylG). Die Beschwerde ist daher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