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D-6608/2017 vom 18. Dezember 2017</w:t>
      </w:r>
    </w:p>
    <w:p>
      <w:r>
        <w:t>Bundesverwaltungsgericht, 2017-12-18, DE</w:t>
      </w:r>
    </w:p>
    <w:p>
      <w:r>
        <w:rPr>
          <w:b/>
        </w:rPr>
        <w:t xml:space="preserve">Quelle: </w:t>
      </w:r>
      <w:r>
        <w:t>https://mcp.opencaselaw.ch/entscheid/bvger_D-6608_2017</w:t>
      </w:r>
    </w:p>
    <w:p>
      <w:r>
        <w:t>FR: TAF D-6608/2017 du 18 décembre 2017</w:t>
      </w:r>
    </w:p>
    <w:p>
      <w:r>
        <w:t>IT: TAF D-6608/2017 del 18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und die TestV nichts anderes bestimmen (Art. 37 VGG; Art. 6 und 112b Abs. 2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TestV i.V.m. Art. 112b Abs. 3 AsylG; Art. 48 Abs. 1 sowie 52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angefochtenen Entscheids aus, die Ausführungen des Beschwerdeführers zu seiner Konversion zum Katholizismus seien unsubstantiiert ausgefallen. Indes könne die Frage der Glaubhaftigkeit offen gelassen werden, da die behauptete Konversion ohnehin keine Asylrelevanz entfalte. Obgleich der Islam in Marokko offizielle Staatsreligion sei, garantiere der Staat die freie Ausübung jeden Kultes und gewährleiste die Glaubens- und Gewissensfreiheit (vgl. Art. 3 und 25 der marokkanischen Verfassung). Apostasie sei in Marokko nicht unter Strafe gestellt, solange die neue Religion nicht mittels aktiver Missionarstätigkeit verbreitet werde (vgl. US-Department of State, 2015 Report on International Religious Freedom - Morocco, 10. August 2016, abrufbar unter https://www.ecoi.net/local_link/328443/469221_de.html ; Immigration and Refugee Board of Canada, Maroc: information sur la situation des personnes qui abjurent l'islam, Bericht vom 12. August 2014, abrufbar unter http://www.refworld.org/docid/555079804.html ; beide besucht am 11. Dezember 2017 ). Auch wenn die Konversion zum Christentum gesellschaftlich verpönt bleibe und mit dem öffentlichen Ausleben der Religion soziale Nachteile zu erwarten seien, würden diese nicht das Ausmass einer asylrelevanten Verfolgung annehmen (vgl. das Urteil des BVGer E-8076/2016 vom 2. Februar 2017 E. 3.3). Daher sei nicht davon auszugehen, dass der Beschwerdeführer bei einer Rückkehr nach Marokko aufgrund seines Glaubens im Sinne des Asylgesetzes verfolgt würde. Die geltend gemachten Probleme in Italien seien sodann für die Beurteilung des Asylgesuchs unwesentlich (vgl. Art. 1 Bst. A Ziff. 2 des Abkommens vom 28. Juli 1951 über die Rechtsstellung der Flüchtlinge [FK, SR 0.142.30] i.V.m. Art. 1 Abs. 2 Protokoll vom 31. Januar 1967 über die Rechtsstellung der Flüchtlinge [SR 0.142.301]). Vorfälle, die sich in Italien ereignet hätten, seien einzig dann geeignet, die Flüchtlingseigenschaft zu begründen, wenn diese auch in Marokko zu einer Verfolgungssituation führen würden. Aufgrund der Aussagen des Beschwerdeführers könne jedoch nicht darauf geschlossen werden, dass dessen Probleme mit der Mafia in Kalabrien in Marokko zu Schwierigkeiten führen würden, zumal der von der Mafia angeheuerte Mann, der ihn angegriffen habe, sein Geld genommen habe und nach der Tat nach Marokko ausgereist sei. Die Verfolgung sei damit abgeschlossen und es könne darauf verzichtet werden, das angeblich in Italien Erlebte einer Glaubhaftigkeitsprüfung zu unterziehen.</w:t>
      </w:r>
    </w:p>
    <w:p>
      <w:r>
        <w:rPr>
          <w:b/>
        </w:rPr>
        <w:t>E. 5.2</w:t>
      </w:r>
    </w:p>
    <w:p>
      <w:r>
        <w:t>Das Bundesverwaltungsgericht kommt nach Prüfung der Akten zum Schluss, dass das SEM die Vorbringen des Beschwerdeführers zu Recht als nicht asylrelevant eingestuft hat. Zunächst bestehen aufgrund der unsubstantiierten Aussagen zur Konversion und zur Ausübung des Katholizismus starke Zweifel am tatsächlichen Religionswechsel des Beschwerdeführers. Sodann vermag der Beschwerdeführer nicht aufzuzeigen, inwiefern ihm persönlich aufgrund seiner - in Italien erfolgten - Konversion eine asylrelevante Verfolgung in Marokko drohe. Selbst wenn bei einem öffentlichen Engagement für den christlichen Glauben mit Diskriminierungen seitens der marokkanischen Gesellschaft gerechnet werden muss, erreicht diese nicht die in Art. 3 AsylG geforderte Intensität (vgl. zur Situation der Christinnen und Christen und insb. marokkanischer Konvertiten das Urteil des BVGer D-7203/2014 vom 7. Dezember 2017 E. 6.2.3). Die Vorinstanz hat mit Verweis auf die Rechtsprechung des Bundesverwaltungsgerichts und auf einschlägige Herkunftslandinformationen somit überzeugend dargelegt, dass der Beschwerdeführer infolge der Ausübung des christlichen Glaubens in Marokko keine Nachteile asylrelevanter Intensität zu erwarten habe. Schliesslich erweist sich auch der in Italien erlittene Überfall aus den im vorinstanzlichen Entscheid genannten Gründen als asylrechtlich nicht relevant. Nach dem Gesagten hat das SEM das Asylgesuch des Beschwerdeführers zu Recht gestützt auf Art. 3 AsylG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Eine Rückkehr des Beschwerdeführers nach Marokko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Marokko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Unter Berücksichtigung der aktuellen politischen Lage, der Menschenrechtssituation sowie der allgemeinen Lebensumstände erweist sich eine Rückkehr des Beschwerdeführers nach Marokko als zumutbar. Zurzeit besteht keine Situation von Krieg, Bürgerkrieg oder allgemeiner Gewalt, aufgrund welcher eine konkrete Gefährdung angenommen werden müsste. Betreffend die individuelle Situation des Beschwerdeführers kann auf die zutreffenden Ausführungen der Vorinstanz verwiesen werden (Vi-act. A25/6-9), denen der Beschwerdeführer keine substantiierten Einwände entgegenhält. Nötigenfalls steht es ihm offen, bei der Rückkehrberatungsstelle medizinische Rückkehrhilfe gemäss Art. 93 AsylG i.V.m. Art. 75 der Asylverordnung 2 vom 11. August 1999 (AsylV 2, SR 142.312) zu beantragen. Diese kann in der Form von Beiträgen zur Durchführung einer medizinischen Behandlung, durch Mitgabe der benötigten Medikamente oder durch Ausrichtung einer Pauschale für medizinische Leistungen gewährt werden. Nach dem Gesagten erweist sich der Vollzug der Wegweisung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beurteilt.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9.1</w:t>
      </w:r>
    </w:p>
    <w:p>
      <w:r>
        <w:t>Mit dem Erlass des vorliegenden Urteils wird das Gesuch um Verzicht auf die Erhebung eines Kostenvorschusses gegenstandslos.</w:t>
      </w:r>
    </w:p>
    <w:p>
      <w:r>
        <w:rPr>
          <w:b/>
        </w:rPr>
        <w:t>E. 9.2</w:t>
      </w:r>
    </w:p>
    <w:p>
      <w:r>
        <w:t>Die Verfahrenskosten sind durch die unterliegende Partei zu tragen (vgl. Art. 63 Abs. 1 VwVG). Der Beschwerdeführer beantragt die Gewährung der unentgeltlichen Prozessführung und Verbeiständung. Gemäss Art. 65 Abs. 1 VwVG befreit die Beschwerdeinstanz eine Partei, die nicht über die erforderlichen Mittel verfügt, auf Antrag von der Bezahlung der Verfahrenskosten, sofern ihr Begehren nicht aussichtslos erscheint. Nach Art. 110a Abs. 1 Bst. a AsylG wird der Partei, die von der Zahlung der Verfahrenskosten befreit wurde, zudem auf Antrag eine amtliche Rechtsbeiständin oder ein amtlicher Rechtsbeistand bestellt. Nachdem die Beschwerdebegehren bereits aufgrund einer summarischen Prüfung als aussichtlos zu bezeichnen waren, sind die Gesuche ohne Abklärung der finanziellen Bedürftigkeit des Beschwerdeführers abzuweisen. Die auf Fr. 750.- festzusetzenden Kosten des vorliegenden Verfahrens (Art. 1-3 des Reglements vom 21. Februar 2008 über die Kosten und Entschädigungen vor dem Bundesverwaltungsgericht [VGKE, SR 173.320.2]) sind daher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