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D-6599/2007 vom 18. März 2010</w:t>
      </w:r>
    </w:p>
    <w:p>
      <w:r>
        <w:t>Bundesverwaltungsgericht, 2010-03-18, DE</w:t>
      </w:r>
    </w:p>
    <w:p>
      <w:r>
        <w:rPr>
          <w:b/>
        </w:rPr>
        <w:t xml:space="preserve">Quelle: </w:t>
      </w:r>
      <w:r>
        <w:t>https://mcp.opencaselaw.ch/entscheid/bvger_D-6599_2007</w:t>
      </w:r>
    </w:p>
    <w:p>
      <w:r>
        <w:t>FR: TAF D-6599/2007 du 18 mars 2010</w:t>
      </w:r>
    </w:p>
    <w:p>
      <w:r>
        <w:t>IT: TAF D-6599/2007 del 18 marzo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des Verwaltungsverfahrensgesetzes vom 20. Dezember 1968 [VwVG, SR 172.021]).</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4.1</w:t>
      </w:r>
    </w:p>
    <w:p>
      <w:r>
        <w:t>Der Beschwerdeführer begründet sein zweites Asylgesuch ausschliesslich mit exilpolitischen Aktivitäten. 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4.2</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4.3</w:t>
      </w:r>
    </w:p>
    <w:p>
      <w:r>
        <w:t>Den vom Beschwerdeführer eingereichten Bestätigungsschreiben der DVF vom 10. April 2007, 1. Oktober 2007 und 12. Oktober 2009 ist zu entnehmen, dass er Mitglied dieser Vereinigung ist. Sein Rechtsvertreter hält dazu in der Beschwerde- und den Folgeeingaben fest, sein Mandant habe immer wieder an regimefeindlichen Aktionen teilgenommen. Dies ist aufgrund der eingereichten Beweismittel nicht zu bestreiten. Fraglich ist hingegen, inwiefern er sich dabei allenfalls exponiert hat. Den Akten sind nur wenige diesbezügliche Anhaltspunkte zu entnehmen. Allein durch die dokumentierte Teilnahme an zahlreichen Versammlungen der DVF, Standaktionen, Kundgebungen und sonstigen Manifestationen verbunden mit entsprechenden Bildaufnahmen und deren Veröffentlichung im Internet und im Publikationsorgan der DVF ist jedenfalls noch nicht davon auszugehen, dass er das gesteigerte Interesse der iranischen Überwachungsbehörden auf sich gezogen haben könnte. Zwar hat er gemäss Aktenlage einmal eine Standaktion durchgeführt, deren Bewilligung der DVF mit ihm (und einer weiteren Person) als Verantwortlichem erteilt wurde (vgl. Eingabe vom 9. Juni 2008). Eine blosse Standaktion erscheint aber wiederum nicht als geeignet, ihm ein markantes politisches Profil zu verleihen. Dasselbe trifft für seine Funktion als (Polit)verantwortlicher der Sektion _______ zu. Gemäss DVF-Bestätigung vom 1. Oktober 2007 ist besagte Funktion offenbar primär mit der Sammlung und Weiterleitung von Informationen verbunden. Dass er in seiner Funktion als Verantwortlicher für _______ markant in Erscheinung getreten wären, kann den Akten jedenfalls nicht entnommen werden. Vielmehr erweckt die Auflistung in der Eingabe vom 20. Oktober 2009 den Eindruck, der Beschwerdeführer sei überwiegend als blosser Mitläufer an zahlreichen Aktionen beteiligt gewesen. Dass seine Funktion in der Publikation _______ öffentlich gemacht wurde, ändert nichts an der Einschätzung, wonach er offensichtlich keine bedeutende Führungsfunktion innehat. Sein Rechtsvertreter legte in diesem Zusammenhang in der Eingabe vom 29. Oktober 2007 zwar dar, sein Mandant sei ins mittlere Kader der DVF aufgestiegen. Allerdings erwähnt er gleichzeitig, dass ein Viertel sämtlicher DVF-Mitglieder Funktionsträger sei, wodurch er die Bedeutung eines solchen Amtes selber und zutreffenderweise wieder relativiert. Schliesslich hat der Beschwerdeführer gemäss Gesuchseingabe vom 22. Mai 2007 einen regimekritischen Artikel unter seinem Namen im Internet publiziert. Auch diese exilpolitische Tätigkeit dürfte sich kaum von derjenigen einer Vielzahl seiner Landsleute abgehoben haben. Abgesehen davon erscheint seine dort geäusserte Kritik am iranischen Regime gemäss Übersetzung eher moderat, zumal er nicht gleichzeitig zu gewaltsamen Aktionen aufruft. Dass er in der Folge regelmässig solche Artikel verfasste, ist im Übrigen gemäss Aktenlage nicht belegt (vgl. dazu das DVF-Bestätigungsschreiben vom 12. Oktober 2009, wo von mehreren Artikeln die Rede ist). Im Weiteren ist gemäss der unter Bst. A vorstehend festgehaltenen Prozessgeschichte nicht davon auszugehen, dass er bereits vor der Ausreise die Aufmerksamkeit der iranischen Behörden in relevantem Ausmass auf sich gezogen hat. Vor diesem Hintergrund rechtfertigt sich der Schluss, dass er vor seiner Absetzung in den Westen durch die iranischen Behörden jedenfalls nicht als staatsgefährdende Politaktivist fichiert war. Seine exilpolitischen Aktivitäten können denn auch insofern mit derjenigen einer Vielzahl seiner Landsleute in Übereinstimmung gebracht werden, als sich diese nach dem Gesagten kaum von denen anderer Iraner abheben. Es ist entgegen den Beschwerdevorbringen daher nicht davon auszugehen, dass die iranischen Behörden beim Beschwerdeführer von einer Bedrohung für das Regime ausgehen würden. Die Funktion des Beschwerdeführers - sollten die iranischen Behörden überhaupt davon Kenntnis erlangen respektive erlangt haben - ist aufgrund der gesamten Umstände jedenfalls nicht geeignet, ihn als eine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sie zu einer Gefahr für den Bestand ihres Regimes werde. Zudem weist nichts darauf hin, dass in seinem Heimatstaat ein Strafverfahren oder andere behördliche Massnahmen eingeleitet worden wären. Einzuräumen ist, dass solche wohl nur schwer zu belegen wären. Entsprechende Massnahmen scheinen indes auch im Falle der Rückkehr nicht überwiegend wahrscheinlich.</w:t>
      </w:r>
    </w:p>
    <w:p>
      <w:r>
        <w:rPr>
          <w:b/>
        </w:rPr>
        <w:t>E. 4.4</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und der Hinweis auf ein Bundesverwaltungsgerichtsurteil etwas zu ändern, weshalb darauf verzichtet werden kann, darauf weiter einzugehen.</w:t>
      </w:r>
    </w:p>
    <w:p>
      <w:r>
        <w:rPr>
          <w:b/>
        </w:rPr>
        <w:t>E. 4.5</w:t>
      </w:r>
    </w:p>
    <w:p>
      <w:r>
        <w:t>Unter Berücksichtigung der gesamten Umstände folgt, dass der Beschwerdeführer keine Gründe nach Art. 3 AsylG nachweisen oder glaubhaft machen konnte. Die Vorinstanz hat die Flüchtlingseigenschaft demnach zu Recht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6.1.2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Bensaid gegen Grossbritannien, Urteil vom 6. Februar 2001, Recueil des arrêts et décisions 2001-I, S. 327 ff., und Saadi gegen Italien, Urteil vom 28. Februar 2008 [Application no. 37201/06]). Dies ist ihm unter Hinweis auf die Erwägungen zum Flüchtlingspunkt nicht gelungen. Auch die allgemeine Menschenrechtssituation im Iran lässt den Wegweisungsvollzug zum heutigen Zeitpunkt nicht als unzulässig erscheinen.</w:t>
      </w:r>
    </w:p>
    <w:p>
      <w:r>
        <w:rPr>
          <w:b/>
        </w:rPr>
        <w:t>E. 6.1.4</w:t>
      </w:r>
    </w:p>
    <w:p>
      <w:r>
        <w:t>Nach dem Gesagten ist der Vollzug der Wegweisung sowohl im Sinne der asyl- als auch der völkerrechtlichen Bestimmungen zulässig.</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6.2.2</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nach wie vor generell zumutbar. Es sind sodann keine individuellen Vollzugshindernisse erkennbar. In diesem Zusammenhang kann grundsätzlich auf die Erwägungen unter Ziffer 6.4 im ARK-Urteil vom 14. Juli 2006 verwiesen werden. Anlässlich der Anhörung vom 21. August 2007 vermittelte der Beschwerdeführer jedenfalls nicht den Eindruck, die Situation seiner Angehörigen hätte sich entscheidend verschlechtert (vgl. B 9/11, S. 3). Nach dem Gesagten erweist sich Vollzug der Wegweisung als zumutbar.</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6.4</w:t>
      </w:r>
    </w:p>
    <w:p>
      <w:r>
        <w:t>Zusammenfassend ergibt sich, dass das BFM den Vollzug der Wegweisung zu Recht als zulässig, zumutbar und möglich erachtet hat. Die Anordnung der vorläufigen Aufnahme fällt somit ausser Betracht (Art. 83 Abs. 1-4 AuG).</w:t>
      </w:r>
    </w:p>
    <w:p>
      <w:r>
        <w:rPr>
          <w:b/>
        </w:rPr>
        <w:t>E. 6.5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7.1</w:t>
      </w:r>
    </w:p>
    <w:p>
      <w:r>
        <w:t>Der im vorinstanzlichen Verfahren gestützt auf Art. 17b Abs. 4 AsylG erhobene Kostenvorschuss ist gemäss damaliger Aktenlage vom BFM zur Recht erhoben worden, hatte der Beschwerdeführer in diesem Zeitpunkt doch blosse Aktivitäten als Mitglied der DVF ohne spezielle Funktion geltend gemacht, was praxisgemäss zu einer Abweisung seines Gesuchs führen musste. Der Antrag auf Rückerstattung dieser Gebühr ist entsprechend abzuweisen.</w:t>
      </w:r>
    </w:p>
    <w:p>
      <w:r>
        <w:rPr>
          <w:b/>
        </w:rPr>
        <w:t>E. 7.2</w:t>
      </w:r>
    </w:p>
    <w:p>
      <w:r>
        <w:t>Bei diesem Ausgang des Verfahrens wären dessen Kosten dem Beschwerdeführer aufzuerlegen (Art. 63 Abs. 1 des Verwaltungsverfahrensgesetzes vom 20. Dezember 1968 [VwVG, SR 172.021]). Da sein Gesuch im Sinne von Art. 65 Abs. 1 VwVG mit Zwischenverfügung vom 3. Oktober 2007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