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D-6596/2025 vom 30. Juli 2025</w:t>
      </w:r>
    </w:p>
    <w:p>
      <w:r>
        <w:t>Bundesverwaltungsgericht, 2025-07-30, FR</w:t>
      </w:r>
    </w:p>
    <w:p>
      <w:r>
        <w:rPr>
          <w:b/>
        </w:rPr>
        <w:t xml:space="preserve">Quelle: </w:t>
      </w:r>
      <w:r>
        <w:t>https://mcp.opencaselaw.ch/entscheid/bvger_D-6596_2025_d20250730</w:t>
      </w:r>
    </w:p>
    <w:p>
      <w:r>
        <w:t>FR: TAF D-6596/2025 du 30 juillet 2025</w:t>
      </w:r>
    </w:p>
    <w:p>
      <w:r>
        <w:t>IT: TAF D-6596/2025 del 30 luglio 2025</w:t>
      </w:r>
    </w:p>
    <w:p>
      <w:pPr>
        <w:pStyle w:val="Heading2"/>
      </w:pPr>
      <w:r>
        <w:t>Regeste</w:t>
      </w:r>
    </w:p>
    <w:p>
      <w:r>
        <w:t>Asile et renvoi | Asile et renvoi; décision du SEM du 30 juillet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La recourante 1 a qualité pour recourir pour elle-même ainsi que pour le compte de ses filles mineures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w:t>
      </w:r>
    </w:p>
    <w:p>
      <w:r>
        <w:t>D-6596/2025 Page 6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Dans sa jurisprudence, le Tribunal part en général du principe que les autorités pénales et judiciaires turques sont capables et désireuses de protéger leurs citoyens, y compris d’ethnie kurde.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 E-5224/2025 du 11 août 2025 consid. 4.2.1 et jurisp. cit.). Le fait que ce pays a déclaré se retirer de la Convention d’Istanbul en date du 20 mars 2021, avec effet au 1er juillet suivant, ne saurait, en l’état, être considéré comme une évolution négative de la législation turque ni comme un changement profond de la société. Cette décision ne constitue pas davantage une manifestation</w:t>
      </w:r>
    </w:p>
    <w:p>
      <w:r>
        <w:t>D-6596/2025 Page 7 claire de la volonté des autorités turques de ne plus garantir la protection nécessaire aux femmes victimes de telles violences (cf. arrêt E-5224/2025 précité consid. 4.2.1 et jurisp. cit.). Cela étant, les différentes sources invoquées par les intéressées dans le recours, tendant à démontrer tant l’absence de volonté que l’incapacité des autorités turques à assurer une protection effective aux femmes victimes de violences liées au genre, ne sont pas de nature à remettre en cause l’appréciation du Tribunal. Les éléments qui en ressortent ne permettent en effet pas d’établir l’existence d’un changement substantiel du cadre législatif en Turquie, d’une évolution significative de la situation sociopolitique interne, ni d’une carence généralisée ou systémique des autorités compétentes à accorder la protection requise. Elles ne sauraient, dès lors, être considérées comme des éléments nouveaux ou pertinents, propres à remettre en question la jurisprudence constante en la matière (cf. en particulier arrêt de référence cité plus haut).</w:t>
      </w:r>
    </w:p>
    <w:p>
      <w:r>
        <w:rPr>
          <w:b/>
        </w:rPr>
        <w:t>E. 3.2</w:t>
      </w:r>
    </w:p>
    <w:p>
      <w:r>
        <w:t>Dans ces conditions, sans vouloir minimiser les problèmes que peuvent rencontrer les femmes victimes de violences de genre en Turquie, il y a lieu de se rallier à l’appréciation du SEM, selon laquelle la recourante 1 aurait pu et dû solliciter la protection des autorités de son pays d’origine. Il convient de relever que cette appréciation s’applique, mutatis mutandis, à la situation de la recourante 2, étant précisé que le recours ne contient aucun élément propre à démontrer que cette protection aurait été, pour l’une ou l’autre des intéressées, inaccessible ou manifestement insuffisante. Le pourvoi se limite, en effet, à des considérations générales sur les violences commises à l’encontre des femmes en Turquie, sans établir de lien concret avec la situation personnelle des recourantes. Or, ainsi qu’il a été exposé, et sans méconnaître la gravité de tels actes, les violences domestiques ne constituent pas un motif pertinent au regard du droit d’asile lorsque, comme en l’espèce, une protection nationale effective est disponible et accessible. Aussi, si les intéressées devaient à nouveau être confrontées dans leur pays d’origine à des agissements violents, menaçants ou à caractère sexuel inapproprié ou non consenti – en particulier, pour la recourante 1, de la part de son beau-frère ou de son mari (dont elle est à présent séparée, cf. notamment recours, ch. 20, p. 8), et pour la recourante 2, de la part de son oncle paternel – , il leur appartiendrait de solliciter les autorités de leur pays d’origine, le cas échéant en faisant appel aux autorités supérieures, qu’elles soient policières, civiles ou politiques, voire à une organisation de défense des droits des femmes ou encore à un avocat (à cet égard, cf. arrêt E-5224/2025 précité consid. 4.3 et jurisp. cit.). D’après ses propres</w:t>
      </w:r>
    </w:p>
    <w:p>
      <w:r>
        <w:t>D-6596/2025 Page 8 déclarations, la recourante 1 a d’ailleurs déjà été en mesure de déposer plainte contre son beau-frère, avec le soutien de voisins (cf. procès-verbal de l’audition du 14 janvier 2025, questions n° 46 et 61). Rien ne permet de conclure qu’elle serait empêchée de recourir à nouveau à cette voie de droit en cas de besoin, étant précisé que l’aide des autorités est généralement plus accessible dans une grande ville telle qu’E._______ que dans les régions rurales (cf. arrêt du Tribunal E-5279/2024 du 10 mars 2025 consid. 3.3.2). En outre, en cas de récidive, il est vraisemblable que le beau-frère de la recourante 1 s’expose à une peine plus sévère qu’une simple sanction pécuniaire. En tout état de cause, les intéressées conservent la possibilité de s’installer dans une autre région du pays, afin d’éviter toute confrontation future avec leur belle-famille. Dans ces conditions, on ne saurait admettre, comme elles le soutiennent, que l’exil en Suisse constituait leur seule issue.</w:t>
      </w:r>
    </w:p>
    <w:p>
      <w:r>
        <w:rPr>
          <w:b/>
        </w:rPr>
        <w:t>E. 3.3</w:t>
      </w:r>
    </w:p>
    <w:p>
      <w:r>
        <w:t>Pour le surplus, il y a lieu de se référer aux considérants de la décision entreprise, lesquels sont suffisamment clairs et motivés, conformément à l’art. 109 al. 3 LTF (par renvoi de l’art. 4 PA). Le recours, comme exposé ci-dessus, ne contient par ailleurs aucun élément nouveau propre à remettre en cause le bien-fondé de cette décision.</w:t>
      </w:r>
    </w:p>
    <w:p>
      <w:r>
        <w:rPr>
          <w:b/>
        </w:rPr>
        <w:t>E. 3.4</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D-6596/2025 Page 9</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recourantes n'ayant pas démontré, pour les motifs retenus précédemment, qu'elles seraient, en cas de retour dans leur pays, exposées à de sérieux préjudices au sens de l'art. 3 LAsi.</w:t>
      </w:r>
    </w:p>
    <w:p>
      <w:r>
        <w:rPr>
          <w:b/>
        </w:rPr>
        <w:t>E. 6.3</w:t>
      </w:r>
    </w:p>
    <w:p>
      <w:r>
        <w:t>Pour les mêmes raisons, il n’y a pas lieu d’admettre qu’il existerait pour elles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D-6596/2025 Page 10</w:t>
      </w:r>
    </w:p>
    <w:p>
      <w:r>
        <w:rPr>
          <w:b/>
        </w:rPr>
        <w:t>E. 7.2</w:t>
      </w:r>
    </w:p>
    <w:p>
      <w:r>
        <w:t>En l’occurrence, il est notoire que la Turquie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Cela dit, il convient de déterminer si la situation personnelle de la recourante 1 est à même de la mettre concrètement en danger en cas de retour dans son pays d’origine.</w:t>
      </w:r>
    </w:p>
    <w:p>
      <w:r>
        <w:rPr>
          <w:b/>
        </w:rPr>
        <w:t>E. 7.4</w:t>
      </w:r>
    </w:p>
    <w:p>
      <w:r>
        <w:t>Sans minimiser les difficultés personnelles auxquelles elle pourrait être confrontée, ni les obstacles d’ordre socio-économique affectant de manière générale la population turque, le Tribunal considère, à l’instar du SEM, que plusieurs éléments favorables existent en l’espèce. Ainsi, la recourante 1 est encore jeune et au bénéfice d’une expérience professionnelle variée (en tant que […] et […]), de sorte qu’il peut être attendu qu’elle retrouve rapidement une activité lucrative et subvienne à ses besoins ainsi qu’à ceux de ses enfants. A cela s'ajoute qu'elle n’a pas allégué de problème de santé particulier, indiquant bien se porter globalement (cf. procès-verbal du 14 janvier 2025, questions n°7 à 8 ainsi que 12). En outre, et bien que cela ne soit pas déterminant en l'occurrence, le Tribunal relève également que, en plus de l’aide éventuelle de son frère résidant en F._______ ainsi que de son amie à D._______, la recourante 1 pourra très probablement aussi compter sur le soutien d'un réseau social à E._______, région – épargnée par le séisme du 6 février 2023 – qu'elle a quittée depuis peu et où elle a vécu et travaillé pendant de nombreuses années avant son départ (cf. procès-verbal du 14 janvier 2025, questions n°16, 18, 31 s. ainsi que 36 s.). Partant, un retour dans son Etat d'origine ne l'exposera pas à des difficultés insurmontables.</w:t>
      </w:r>
    </w:p>
    <w:p>
      <w:r>
        <w:rPr>
          <w:b/>
        </w:rPr>
        <w:t>E. 7.5.1</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w:t>
      </w:r>
    </w:p>
    <w:p>
      <w:r>
        <w:t>D-6596/2025 Page 11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7.5.2</w:t>
      </w:r>
    </w:p>
    <w:p>
      <w:r>
        <w:t>En l’occurrence, la recourante 1, qui, comme déjà exposé (cf. consid. 7.4), a déclaré jouir d’un état de santé globalement satisfaisant, a indiqué, au cours de son audition du 14 janvier 2025, que sa fille C._______ (recourante 3) présentait depuis environ un an des symptômes évocateurs d’un trouble du spectre autistique. Elle a précisé que les médecins n’avaient pas encore posé de diagnostic définitif, préférant suivre l’évolution du cas. Par ailleurs, elle a expliqué qu’elle s’était rendue, au début de l’année 2025, auprès d’une association spécialisée, où un psychologue lui avait confirmé que sa fille manifestait bien ces symptômes.</w:t>
      </w:r>
    </w:p>
    <w:p>
      <w:r>
        <w:t>D-6596/2025 Page 12 Elle n’a toutefois produit aucun document médical attestant du diagnostic d’autisme.</w:t>
      </w:r>
    </w:p>
    <w:p>
      <w:r>
        <w:rPr>
          <w:b/>
        </w:rPr>
        <w:t>E. 7.5.3</w:t>
      </w:r>
    </w:p>
    <w:p>
      <w:r>
        <w:t>En tout état de cause, sans minimiser le potentiel trouble dont la recourante 3 pourrait être atteinte, celui-ci ne saurait, en l’état, justifier l’inexigibilité de l’exécution du renvoi. En effet, aucun élément versé au dossier ne permet de conclure que ce trouble entraînerait, en cas de retour, une dégradation certaine et significative de son état de santé, de nature à mettre concrètement sa vie en danger ou à porter une atteinte grave, durable et notable à son intégrité physique, comme l’exige la jurisprudence topique (cf. consid. 7.5.1). La condition de la gravité n’étant pas remplie, la question de la réponse médicale dont la recourante 3 pourrait bénéficier en Turquie n’est en soi pas décisive. Cela étant, ainsi que l’a retenu le SEM, des structures spécialisées et un traitement adapté sont disponibles en Turquie pour les enfants atteints d’autisme (cf. décision entreprise, ch. III, pt 2, p. 7 s.).</w:t>
      </w:r>
    </w:p>
    <w:p>
      <w:r>
        <w:rPr>
          <w:b/>
        </w:rPr>
        <w:t>E. 7.5.4</w:t>
      </w:r>
    </w:p>
    <w:p>
      <w:r>
        <w:t>S’agissant de la recourante 2, il ressort de ses déclarations qu’elle présente une bonne santé générale, hormis des épisodes occasionnels de gêne liés à son asthme (cf. procès-verbal du 14 janvier 2025, questions n° 7 à 9). Une telle pathologie ne saurait constituer un obstacle médical à l’exécution du renvoi. Par ailleurs, il est établi qu’elle peut bénéficier d’un traitement adéquat en Turquie, ce qu’elle-même a reconnu.</w:t>
      </w:r>
    </w:p>
    <w:p>
      <w:r>
        <w:rPr>
          <w:b/>
        </w:rPr>
        <w:t>E. 7.5.5</w:t>
      </w:r>
    </w:p>
    <w:p>
      <w:r>
        <w:t>Par conséquent, l’état de santé des recourantes ne constitue pas un obstacle insurmontable de nature à rendre l’exécution du renvoi inexigible, pour des motifs médicaux, au sens de l’art. 83 al. 4 LEI.</w:t>
      </w:r>
    </w:p>
    <w:p>
      <w:r>
        <w:rPr>
          <w:b/>
        </w:rPr>
        <w:t>E. 7.6</w:t>
      </w:r>
    </w:p>
    <w:p>
      <w:r>
        <w:t>Il convient encore d’examiner, au regard des circonstances du cas d’espèce, si l’exécution du renvoi des filles de la recourante 1, encore mineures, s’avère contraire à l’intérêt supérieur de l’enfant tel que protégé par l’art. 3 de la Convention de l’ONU du 20 novembre 1989 relative aux droits de l’enfant (CDE ; RS 0.107).</w:t>
      </w:r>
    </w:p>
    <w:p>
      <w:r>
        <w:rPr>
          <w:b/>
        </w:rPr>
        <w:t>E. 7.6.1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w:t>
      </w:r>
    </w:p>
    <w:p>
      <w:r>
        <w:t>D-6596/2025 Page 13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w:t>
      </w:r>
    </w:p>
    <w:p>
      <w:r>
        <w:rPr>
          <w:b/>
        </w:rPr>
        <w:t>E. 7.6.2</w:t>
      </w:r>
    </w:p>
    <w:p>
      <w:r>
        <w:t>Compte tenu en particulier, de la brièveté de leur séjour en Suisse – les enfants de la recourante 1 n’y étant arrivées qu’à la fin du mois de (…) 2023, soit il y a moins de deux ans – ainsi que de leur âge respectif ([…] ans pour la recourante 2 et […] ans pour sa sœur cadette), aucun élément au dossier ne permet de retenir qu’un retour en Turquie entraînerait pour elles un déracinement d’une intensité telle qu’il compromettrait leur développement. S’agissant de C._______, son intérêt, compte tenu de son très jeune âge, est de rester dans le giron de sa mère, dont elle dépend encore entièrement. Un tel maintien dans un cadre familial stable constitue une condition essentielle à son développement affectif et psychologique harmonieux. Concernant la recourante 2, bien que plus âgée, son intérêt supérieur, conformément à l’art. 3 CDE, implique également de maintenir un cadre stable et protecteur. Le retour en Turquie – où elle a vécu l’essentiel de sa vie – avec sa mère lui garantit la continuité des liens sociaux, tout en lui offrant la possibilité de poursuivre sa scolarité et son développement personnel dans un environnement culturel et linguistique familier. En outre, rien ne laisse supposer que ce retour serait de nature à compromettre gravement son équilibre psychologique ou social.</w:t>
      </w:r>
    </w:p>
    <w:p>
      <w:r>
        <w:t>D-6596/2025 Page 14</w:t>
      </w:r>
    </w:p>
    <w:p>
      <w:r>
        <w:rPr>
          <w:b/>
        </w:rPr>
        <w:t>E. 7.7</w:t>
      </w:r>
    </w:p>
    <w:p>
      <w:r>
        <w:t>Sur le vu de ce qui précède, il convient de reconnaître le caractère raisonnablement exigible de l’exécution du renvoi de la recourante 1 et de ses enfants, en Turquie.</w:t>
      </w:r>
    </w:p>
    <w:p>
      <w:r>
        <w:rPr>
          <w:b/>
        </w:rPr>
        <w:t>E. 8</w:t>
      </w:r>
    </w:p>
    <w:p>
      <w:r>
        <w:t>Enfin, la recourante est en mesure d'entreprendre toute démarche nécessaire, pour elle-même et ses enfants, auprès de la représentation de son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S’avérant manifestement infondé, le recours est rejeté dans une procédure à juge unique, avec l’approbation d’une seconde juge (art. 111 let. e LAsi), sans échange d’écritures (art. 111a al. 1 LAsi).</w:t>
      </w:r>
    </w:p>
    <w:p>
      <w:r>
        <w:rPr>
          <w:b/>
        </w:rPr>
        <w:t>E. 10.2</w:t>
      </w:r>
    </w:p>
    <w:p>
      <w:r>
        <w:t>Vu le prononcé du présent arrêt sur le fond, la demande de dispense du versement d’une avance des frais de procédure est sans objet.</w:t>
      </w:r>
    </w:p>
    <w:p>
      <w:r>
        <w:rPr>
          <w:b/>
        </w:rPr>
        <w:t>E. 10.3</w:t>
      </w:r>
    </w:p>
    <w:p>
      <w:r>
        <w:t>Dès lors que les conclusions du recours étaient d'emblée vouées à l'échec, la demande d'assistance judiciaire totale doit être rejetée, l'une des conditions cumulatives à son octroi n'étant pas remplie (art. 65 al. 1 PA en lien avec l’art. 102m al. 1 LAsi). Cela étant,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 page suivante)</w:t>
      </w:r>
    </w:p>
    <w:p>
      <w:r>
        <w:t>D-6596/2025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