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D-6590/2006 vom 11. November 2009</w:t>
      </w:r>
    </w:p>
    <w:p>
      <w:r>
        <w:t>Bundesverwaltungsgericht, 2009-11-11, DE</w:t>
      </w:r>
    </w:p>
    <w:p>
      <w:r>
        <w:rPr>
          <w:b/>
        </w:rPr>
        <w:t xml:space="preserve">Quelle: </w:t>
      </w:r>
      <w:r>
        <w:t>https://mcp.opencaselaw.ch/entscheid/bvger_D-6590_2006</w:t>
      </w:r>
    </w:p>
    <w:p>
      <w:r>
        <w:t>FR: TAF D-6590/2006 du 11 novembre 2009</w:t>
      </w:r>
    </w:p>
    <w:p>
      <w:r>
        <w:t>IT: TAF D-6590/2006 del 11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Hinsichtlich der Frage der Legitimation der Beschwerdeführenden ist Folgendes festzuhalten: Der Rechtsvertreter der Beschwerdeführenden beantragte Akteneinsicht einzig in das Verfahren des Beschwerdeführers (Ehemann/Vater; A36). Das Bundesamt stellte ihm die entscheidwesentlichen Aktenstücke mit dem entsprechenden Aktenverzeichnis zu. Die Verfahrensakten der Beschwerdeführerin (Ehefrau/Mutter), welche im selben Aktenverzeichnis aufgeführt sind, erhielt der Rechtsvertreter nicht (A37; "Akteneinsichtsgesuch i.S. A._______ und die Kinder"). Ein nachträgliches Gesuch um Einsicht in die Akten der Beschwerdeführerin stellte der Rechtsvertreter nicht. Die mit dem Rechtsmittel eingereichte Vollmacht lautet einzig auf den Namen des Beschwerdeführers und war auch allein von diesem unterzeichnet. Die Beschwerde wurde demgegenüber im Namen sämtlicher Familienmitglieder erhoben ("A._______, geb. [...], und Familie"). Aus diesem Grund und in Beachtung des Prinzips der Familieneinheit (Art. 44 AsylG) wurde die Beschwerde von der ARK im Namen der ganzen Familie - einschliesslich der Beschwerdeführerin - entgegengenommen, obwohl im Hauptantrag lediglich die Aufhebung der vorinstanzlichen Verfügung vom 23. April 2003 (Formulierung im Singular) begehrt wird und der diesbezüglichen Eingabe einzig die vorinstanzliche Verfügung betreffend den Beschwerdeführer und die Kinder beilag. Im Zusammenhang mit der dem Rechtsvertreter auf Beschwerdeebene nachträglich gewährten Einsicht in die vorinstanzlichen Akten der Beschwerdeführerin (vgl. vorstehend Bst. O) erklärte dieser, ihm sei die separate, die Beschwerdeführerin betreffende Verfügung des Bundesamtes vom 23. April 2003 von seinen Mandanten nie ausgehändigt worden. Diesbezüglich ist der Vollständigkeit halber festzuhalten, dass der Beschwerdeführer am 25. April 2003 beide Postsendungen, welche die Verfügungen des Bundesamtes vom 23. April 2003 enthielten, entgegengenommen hat (vgl. die Empfängerunterschriften auf den beiden Rückscheinen bei den Akten: A34 und A35), mithin auch das separat an die Beschwerdeführerin adressierte Schreiben mit dem spezifisch sie betreffenden vorinstanzlichen Entscheid. Aufgrund all dieser Umstände ist davon auszugehen, dass die Beschwerdeführerin im Beschwerdeverfahren des Beschwerdeführers und der Kinder miteinbezogen sein will und nicht selbstständig gegen den spezifisch sie betreffenden, in einer separaten Verfügung ergangenen Entscheid respektive dessen Begründung rekurieren wollte. Auf die Anträge und Ausführungen in der Beschwerdeergänzung vom 28. Februar 2008 (vgl. vorstehend Bst. P) - aber auch den Inhalt der die Beschwerdeführerin betreffenden vorinstanzlichen Verfügung vom 23. April 2003 - ist daher, soweit diese einzig die Vorbringen der Beschwerdeführerin betreffen, nicht einzutreten, da die Rechtsmittelfrist in Bezug auf diese Verfügung im Zeitpunkt der Anträge vom 28. Februar 2008 offensichtlich abgelaufen war. Auf die weitergehenden Ausführungen in dieser Eingabe wird nachfolgend in E. 4.3 eingegangen. Die Beschwerdeführenden sind nach dem Gesagten durch die angefochtene Verfügung im vorgenannten Umfang berührt und haben ein schutzwürdiges Interesse an deren Aufhebung beziehungsweise Änderung; sie sind somit zur Einreichung der Beschwerde legitimiert (Art. 105 AsylG i.V.m. Art. 37 VGG und Art. 48 Abs. 1 VwVG). Auf die im Übrigen frist- und formgerecht (Art. 105 AsylG i.V.m. Art. 37 VGG und Art. 50 und 52 VwVG) eingereichte Beschwerde ist daher der vorgenannten Einschränkung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der Vorinstanz ist festzuhalten, dass die Vorbringen des Beschwerdeführers den Anforderungen an die Glaubhaftigkeit gemäss Art. 7 AsylG nicht standhalten. Um Wiederholungen zu vermeiden, kann daher auf die zutreffenden Erwägungen in der angefochtenen Verfügung verwiesen werden.</w:t>
      </w:r>
    </w:p>
    <w:p>
      <w:r>
        <w:rPr>
          <w:b/>
        </w:rPr>
        <w:t>E. 4.2</w:t>
      </w:r>
    </w:p>
    <w:p>
      <w:r>
        <w:t>Der Argumentation der Vorinstanz werden in der Rechtsmitteleingabe keine stichhaltigen Gründe entgegengesetzt. Dem Beschwerdeführer gelingt es angesichts der in Russland herrschenden Registrierungspflichten nicht, den angeblich über 13 Jahre lang angedauerten, illegalen Aufenthalt dort für sich und seine Familie glaubhaft zu machen. Die entsprechenden Ausführungen müssen insgesamt als mutmassende und nicht über Allgemeinplätze hinausgehende Erklärungsversuche angesehen werden. Zur von der Vorinstanz in diesem Zusammenhang als unglaubhaft qualifizierten Festnahme des Beschwerdeführers im Dezember 2001 wegen fehlenden Ausweispapieren unterbleiben nähere Erörterungen. Lediglich der dem Beschwerdeführer von der Vorinstanz hinsichtlich seiner Angaben zum Polizeiposten vorgehaltene Widerspruch wird bestritten (der Beschwerdeführer sei in M._______ festgenommen und dann zum Posten [...] gebracht worden; R._______ sei das regionale Polizeiquartier, während der andere Polizeiposten nur lokale Bedeutung habe). Diese Argumentation erweist sich aber als unbehelflich, zumal den Akten beziehungsweise den protokollierten Aussagen des Beschwerdeführers nirgends entnommen werden kann, er wäre in diesem Zusammenhang von einem Ort zu einem anderen transferiert worden. Der Vollständigkeit halber ist an dieser Stelle festzuhalten, dass der Beschwerdeführer - ausser den geltend gemachten Schmiergeldzahlungen - eigenen Angaben zufolge während seines angeblich illegalen Aufenthalts in Russland keine Probleme mit den russischen Behörden gehabt hat und im Anschluss an die angebliche Festnahme vom Dezember 2001 - ohne erneut mit Problemen konfrontiert gewesen zu sein - wieder seiner Erwerbstätigkeit nachgegangen sein will. Ferner soll der Entschluss zur Ausreise letztlich auf Drängen seiner Ehefrau hin erfolgt sein (kant. Protokoll, S. 16, 20 und 21). Keine Stütze in den Akten findet sodann die Behauptung in der Beschwerde, wonach der Beschwerdeführer "in grossem Umfang" Schlachttiere eingekauft und an das Schlachthaus geliefert habe (vgl. A12 S. 8, A13, S. 10 und 11). Vor diesem Hintergrund geben die vom BFM gezogenen Schlussfolgerungen im Zusammenhang mit dem Einkommen des Beschwerdeführers respektive dem monatlichen Durchschnittseinkommen in Russland zu keinen Beanstandungen Anlass (vgl. in diesem Zusammenhang auch die vom selben Rechtsvertreter im Zusammenhang mit der Erteilung einer Aufenthaltsbewilligung an das Kind G. [Bst. Q] eingereichten Bestätigungsschreiben von ehemaligen Nachbarn der Beschwerdeführenden, gemäss welchen die finanzielle Situation der Familie prekär gewesen sei). Die Ausführungen zum monatlichen Durchschnittseinkommen in Russland lassen sich überdies auf öffentlich zugängliche Quellen abstützen.</w:t>
      </w:r>
    </w:p>
    <w:p>
      <w:r>
        <w:rPr>
          <w:b/>
        </w:rPr>
        <w:t>E. 4.3</w:t>
      </w:r>
    </w:p>
    <w:p>
      <w:r>
        <w:t>Auch mit den Vorbringen der Beschwerdeführerin in der Beschwerdeergänzung (vgl. Bst. P) können die Beschwerdeführenden in asylrechtlicher Hinsicht nichts zu ihren Gunsten ableiten. So erschöpfen sich die diesbezüglichen Vorbringen zum einen hauptsächlich in einer Wiedergabe von Ausführungen, welche bereits in der Beschwerde vom 26. Mai 2003 angeführt wurden (u. a. Ausführungen im Zusammenhang mit dem illegalen Aufenthalt und zum monatlichen Durchschnittseinkommen in Russland, Fragen zur Staatsbürgerschaft respektive zur Möglichkeit der Annahme einer der in Frage kommenden Staatsbürgerschaften). Hinsichtlich der bloss rudimentären Argumentation im Zusammenhang mit den vom BFF in einer separaten Verfügung gewürdigten Asylvorbringen der Beschwerdeführerin ist ferner auf obenstehende Ausführungen in E. 1.3 zu verweisen.</w:t>
      </w:r>
    </w:p>
    <w:p>
      <w:r>
        <w:rPr>
          <w:b/>
        </w:rPr>
        <w:t>E. 4.4</w:t>
      </w:r>
    </w:p>
    <w:p>
      <w:r>
        <w:t>Aufgrund der vorstehenden Erwägungen erübrigt es sich, auf die weiteren Ausführungen in der Beschwerde einzugehen, weil sie am Ergebnis nichts ändern können. Zusammenfassend folgt, dass die Beschwerdeführenden keine Gründe nach Art. 3 AsylG nachweisen oder glaubhaft machen konnten.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Mit Inkrafttreten des revidierten Asylgesetzes am 1. Januar 2007 wurde Art. 44 Abs. 3 - 5 AsylG in der Fassung vom 26. Juni 1998 (AS 1999 2273) aufgehoben. Mithin bildet die Frage einer allfälligen vorläufigen Aufnahme aufgrund einer schwerwiegenden persönlichen Notlage nicht Gegenstand des vorliegenden Verfahrens.</w:t>
      </w:r>
    </w:p>
    <w:p>
      <w:r>
        <w:rPr>
          <w:b/>
        </w:rPr>
        <w:t>E. 6.2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EMARK 2001 Nr. 1 E. 6a S. 2). Gegen eine allfällige Aufhebung der vorläufigen Aufnahme durch das BFM steht dem weggewiesenen Asylsuchenden wiederum die Beschwerde an das Bundesverwaltungsgericht offen (vgl. Art. 112 Abs. 1 AuG i.V.m. Art. 31 ff. VGG). In diesem Verfahren wäre dann der Wegweisungsvollzug vor dem Hintergrund sämtlicher Vollzugshindernisse von Amtes wegen nach Massgabe der in diesem Zeitpunkt herrschenden Verhältnisse (vgl. EMARK 1997 Nr. 27 S. 205 ff.) zu prüfen.</w:t>
      </w:r>
    </w:p>
    <w:p>
      <w:r>
        <w:rPr>
          <w:b/>
        </w:rPr>
        <w:t>E. 6.3</w:t>
      </w:r>
    </w:p>
    <w:p>
      <w:r>
        <w:t>Gemäss Art. 83 Abs. 4 AuG ist der Vollzug der Wegweisung nicht zumutbar, wenn die beschwerdeführende Person bei einer Rückkehr in ihren Heimatstaat einer konkreten Gefährdung ausgesetzt ist. Diese Bestimmung wird auf Gewaltflüchtlinge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Personen, die nach ihrer Rückkehr ebenfalls einer konkreten Gefahr ausgesetzt wären, weil sie die absolut notwendige medizinische Versorgung nicht erhalten könnten oder - aus objektiver Sicht - wegen der vorherrschenden Verhältnisse einer exi-stenzgefährdenden Situation ausgesetzt wären (siehe Entscheide des Schweizerischen Bundesverwaltungsgerichts [BVGE] 2008/34, E. 11.1 S. 510 f., BVGE 2007/10, E. 5.1 S. 111, EMARK 2005 Nr. 12 E. 10.3 S. 114, je mit weiteren Hinweisen).</w:t>
      </w:r>
    </w:p>
    <w:p>
      <w:r>
        <w:rPr>
          <w:b/>
        </w:rPr>
        <w:t>E. 6.4</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D-3357/2006 vom 9. Juli 2009 E. 9.3.2; EMARK 2006 Nr. 24 E. 6.2.3 S. 259 f., EMARK 2005 Nr. 6 E. 6.2 S. 57 f.).</w:t>
      </w:r>
    </w:p>
    <w:p>
      <w:r>
        <w:rPr>
          <w:b/>
        </w:rPr>
        <w:t>E. 6.5</w:t>
      </w:r>
    </w:p>
    <w:p>
      <w:r>
        <w:t>Die Beschwerdeführenden (Eltern) gelangten mit ihren drei Kindern anfangs Februar 2002 in die Schweiz. Zwei ihrer Kinder - die mittlerweile volljährig geworden sind - erhielten gestützt auf Art. 14 Abs. 2 AsylG eine Aufenthaltsbewilligung (vgl. Bstn N und Q). Es gilt in diesem Zusammenhang vorab festzuhalten, dass nebst den geforderten formellen Voraussetzungen von Art. 14 Abs. 2 Bst. a und b AsylG insbesondere die Erfüllung von Bst. c der nämlichen gesetzlichen Bestimmung von entscheidender Bedeutung ist (Vorliegen eines schwerwiegenden persönlichen Härtefalls wegen fortgeschrittener Integration). In Bezug auf das Kind C._______ ergibt sich, dass dieser im Alter von knapp neun Jahren in die Schweiz gelangte. Seine gesamte schulische Ausbildung sowie die prägendsten Jahre seiner Adoleszenz durchlief respektive verbrachte er in der Schweiz. Ferner ist davon auszugehen, dass C._______ sich durch das Erlernen der Sprache (Hochdeutsch, Schweizer Dialekt) zusehends an die schweizerische Lebensweise assimiliert hat beziehungsweise dass er insbesondere durch den Besuch der Schule in erheblichem Mass durch das hiesige kulturelle und soziale Umfeld geprägt worden ist. Ebenfalls muss angenommen werden, dass sich C._______ im Verlaufe dieser Jahre ein eigenes persönliches Beziehungsnetz aufgebaut hat. Eine Reintegration des etwas mehr als sechzehnjährigen, die Pubertät durchlaufende C._______ in dessen Heimatland dürfte in Anbetracht dieser Umstände nicht zuletzt aufgrund der kulturellen Differenzen zwischen der Schweiz und dem Heimatland in erhöhtem Masse in Frage gestellt sein. Mithin besteht für C._______ die mögliche Gefahr, dass die mit einem Vollzug der Wegweisung verbundene Entwurzelung aus dem gewachsenen sozialen Umfeld in der Schweiz einerseits und die sich gleichzeitig abzeichnende Problematik einer Reintegration in die ihm weitgehend fremde Kultur und Umgebung im Heimatland andererseits zu starken Belastungen in seiner weiteren Entwicklung führen würden, die mit dem Schutzanliegen des Kindeswohls nicht zu vereinbaren wären. Das Bundesverwaltungsgericht erachtet deshalb den Vollzug der Wegweisung der Beschwerdeführenden und ihres Kindes C._______ unter Berücksichtigung der erwähnten Gesichtspunkte zum heutigen Zeitpunkt insgesamt als unzumutbar im Sinne von Art. 83 Abs. 4 AuG.</w:t>
      </w:r>
    </w:p>
    <w:p>
      <w:r>
        <w:rPr>
          <w:b/>
        </w:rPr>
        <w:t>E. 7</w:t>
      </w:r>
    </w:p>
    <w:p>
      <w:r>
        <w:t>Die Verfügung der Vorinstanz vom 23. April 2003 ist daher infolge festgestellter Unzumutbarkeit hinsichtlich des Vollzuges der Wegweisung aufzuheben und das BFM ist anzuweisen, den Beschwerdeführenden und ihrem Kind die vorläufige Aufnahme zu gewähren (vgl. Art. 44 Abs. 2 AsylG und Art. 83 Abs. 1 AuG; EMARK 1995 Nr. 24 E. 10-11). Einer solchen stehen im Übrigen vorliegend auch keine einschränkenden gesetzlichen Tatbestände entgegen (vgl. Art. 83 Abs. 7 AuG). Auf die übrigen Beschwerdevorbringen braucht bei dieser Sachlage nicht eingegangen zu werden.</w:t>
      </w:r>
    </w:p>
    <w:p>
      <w:r>
        <w:rPr>
          <w:b/>
        </w:rPr>
        <w:t>E. 8.1</w:t>
      </w:r>
    </w:p>
    <w:p>
      <w:r>
        <w:t>Bei diesem Ausgang des Verfahrens sind die um die Hälfte reduzierten Kosten (Unterliegen hinsichtlich der Zuerkennung der Flüchtlingseigenschaft und Gewährung von Asyl) den Beschwerdeführenden aufzuerlegen (Art. 63 Abs. 1 und 5 VwVG) und mit dem am 23. Juni 2003 in der Höhe von Fr. 600.- geleisteten Kostenvorschuss zu verrechnen. Der Restbetrag von Fr. 300.- ist ihnen zurückzuerstatten.</w:t>
      </w:r>
    </w:p>
    <w:p>
      <w:r>
        <w:rPr>
          <w:b/>
        </w:rPr>
        <w:t>E. 8.2</w:t>
      </w:r>
    </w:p>
    <w:p>
      <w:r>
        <w:t>Die Beschwerdeführenden sind mit ihren Rechtsbegehren teilweise durchgedrungen (vorläufige Aufnahme). Diesfalls ist praxisgemäss von einem hälftigen Obsiegen auszugehen und ihnen eine Parteientschädigung für die ihnen notwendigerweise erwachsenen Parteikosten zuzusprechen, welche praxisgemäss um die Hälfte herabzusetzen ist (Art. 64 Abs. 1 VwVG sowie Art. 7 Abs. 2 des Reglements vom 21. Februar 2008 über die Kosten und Entschädigungen vor dem Bundesverwaltungsgericht [VGKE, SR 173.320.2]). Der Rechtsvertreter der Beschwerdeführenden hat keine Kostennote eingereicht. Auf das Nachreichen einer solchen kann vorliegend verzichtet werden, da sich die Vertretungskosten aufgrund der Akten und vergleichbarer anderer Fälle zuverlässig abschätzen lassen (Art. 14 Abs. 2 VGKE) Die Parteientschädigung ist von Amtes wegen auf pauschal Fr. 1'000.- festzusetzen (inkl. Auslagen und MWSt). Das BFM ist anzuweisen, den Beschwerdeführenden eine Parteientschädigung in dieser Höhe auszurichten.</w:t>
      </w:r>
    </w:p>
    <w:p>
      <w:r>
        <w:rPr>
          <w:b/>
        </w:rPr>
        <w:t>E. 8.3</w:t>
      </w:r>
    </w:p>
    <w:p>
      <w:r>
        <w:t>Der Vollständigkeit halber ist festzuhalten, dass damit auch der Aufwand des Rechtsvertreters in Bezug auf die Kinder N. und G. - deren Verfahren im Wegweisungspunkt als gegenstandslos geworden abgeschrieben wurde (vgl. Bst. N und Q; vgl. auch Abschreibungsentscheid vom 13. November 2007) - entschädigt ist, da diese bis zur Feststellung der Gegenstandslosigkeit im vorliegenden Verfahren der Beschwerdeführenden miteingeschlossen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