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D-6583/2019 vom 16. Januar 2020</w:t>
      </w:r>
    </w:p>
    <w:p>
      <w:r>
        <w:t>Bundesverwaltungsgericht, 2020-01-16, DE</w:t>
      </w:r>
    </w:p>
    <w:p>
      <w:r>
        <w:rPr>
          <w:b/>
        </w:rPr>
        <w:t xml:space="preserve">Quelle: </w:t>
      </w:r>
      <w:r>
        <w:t>https://mcp.opencaselaw.ch/entscheid/bvger_D-6583_2019</w:t>
      </w:r>
    </w:p>
    <w:p>
      <w:r>
        <w:t>FR: TAF D-6583/2019 du 16 janvier 2020</w:t>
      </w:r>
    </w:p>
    <w:p>
      <w:r>
        <w:t>IT: TAF D-6583/2019 del 16 gennaio 2020</w:t>
      </w:r>
    </w:p>
    <w:p>
      <w:pPr>
        <w:pStyle w:val="Heading2"/>
      </w:pPr>
      <w:r>
        <w:t>Regeste</w:t>
      </w:r>
    </w:p>
    <w:p>
      <w:r>
        <w:t>Nichteintreten auf Asylgesuch (sicherer Drittstaat 31a I a,c,d,e) und Wegweisung</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und ihre beiden minderjährigen Kinder haben am Verfahren vor der Vorinstanz teilgenommen, sind durch die angefochtene Verfügung besonders berührt und haben ein schutzwürdiges Interesse an deren Aufhebung beziehungsweise Änderung; sie sind daher zur Einreichung der Beschwerde legitimiert (Art. 105 und 108 Abs. 3 AsylG; Art. 48 Abs. 1 sowie Art. 52 Abs. 1 VwVG).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Demnach enthält sich die Beschwerdeinstanz - sofern sie den Nichteintretensentscheid als unrechtmässig erachtet - einer selbstständigen materiellen Prüfung, hebt die angefochtene Verfügung auf und weist die Sache zu neuer Entscheidung an die Vorinstanz zurück (vgl. BVGE 2014/39 E. 3 m.w.H.). Die Fragen der Anerkennung der Flüchtlingseigenschaft und der Gewährung von Asyl bilden nicht Gegenstand des angefochtenen Nichteintre-tensentscheids und deshalb auch nicht des vorliegenden Verfahrens, weshalb auf die entsprechenden Beschwerdeanträge nicht einzutreten ist. Der Begründung der Laienbeschwerde ist jedoch zu entnehmen, dass die Beschwerdeführerin sinngemäss die vollumfängliche Aufhebung des Nichteintretensentscheids des SEM und die Anweisung an die Vorinstanz beantragt, ihr Asylverfahren in der Schweiz materiell durchzuführen. In diesem Umfang ist somit auf die frist- und ansonsten formgerecht eingereichte Beschwerde einzutreten (Art. 108 Abs. 3 AsylG und Art. 52 Abs. 1 VwVG).</w:t>
      </w:r>
    </w:p>
    <w:p>
      <w:r>
        <w:rPr>
          <w:b/>
        </w:rPr>
        <w:t>E. 2</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3</w:t>
      </w:r>
    </w:p>
    <w:p>
      <w:r>
        <w:t>Die Kognition des Bundesverwaltungsgerichts und die zulässigen Rügen richten sich im Asylbereich nach Art. 106 Abs. 1 AsylG, im Bereich des Ausländerrechts nach Art. 49 VwVG (vgl. BVGE 2014/26 E. 5). Bezüglich der Frage der ausländerrechtlichen Wegweisung und des Wegweisungsvollzugs hat die Vorinstanz eine materielle Prüfung vorgenommen, weshalb dem Bundesverwaltungsgericht diesbezüglich volle Kognition zukommt.</w:t>
      </w:r>
    </w:p>
    <w:p>
      <w:r>
        <w:rPr>
          <w:b/>
        </w:rPr>
        <w:t>E. 4.1</w:t>
      </w:r>
    </w:p>
    <w:p>
      <w:r>
        <w:t>Das SEM begründete seinen Entscheid im Wesentlichen damit, es trete gemäss Art. 31a Abs. 1 Bst. a AsylG auf Asylgesuche in der Regel dann nicht ein, wenn Asylsuchende in einen vom Bundesrat bezeichneten sicheren Drittstaat im Sinne von Art. 6a Abs. 2 Bst. b AsylG zurückkehren können, in dem sie sich vorher aufgehalten hätten. Der Bundesrat habe Spanien als sicheren Drittstaat bezeichnet. Abklärungen hätten zudem ergeben, dass die Beschwerdeführerin und ihre beiden Kinder in Spanien subsidiären Schutz erhalten hätten. Schliesslich habe sich Spanien am 22. November 2019 bereit erklärt, die Beschwerdeführerin und ihre Kinder zurückzunehmen. Demzufolge könnten sie nach Spanien zurückkehren. Im vorliegenden Fall würden zwar Anzeichen bestehen, dass die Beschwerdeführerin die Bedingungen für eine vorläufige Aufnahme nach Art. 83 AIG (SR 142.20) erfülle, da sie und ihre Kinder in Spanien subsidiären Schutz erhalten hätten. Für ein allfälliges Ersuchen um Wiedererwägung ihres Asylentscheides sei jedoch nicht die Schweiz, sondern Spanien zuständig. Dem Begehren um Feststellung der Flüchtlingseigenschaft oder von Wegweisungshindernissen in den Heimatstaat in der Schweiz sei nur dann zu entsprechen, wenn jemand ein schutzwürdiges Interesse nachweisen könne. Dieser Nachweis könne offensichtlich nicht gelingen, wenn bereits ein Drittstaat die Flüchtlingseigenschaft festgestellt und Schutz vor Verfolgung gewährt habe. Dies sei vorliegend der Fall. Die Beschwerdeführerin und ihre Kinder könnten nach Spanien zurückkehren, ohne eine Rückschiebung in Verletzung des Non-Refoulement-Prinzips zu befürchten. Somit sei auf das Asylgesuch nicht einzutreten. Da auf das Asylgesuch nicht eingetreten werde, seien die Beschwerdeführerin und ihre beiden Kinder zur Ausreise aus der Schweiz verpflichtet (Art. 44 AsylG). Hinsichtlich des Wegweisungsvollzugs sei festzustellen, dass sie in einen Drittstaat reisen könnten, in dem sie Schutz vor Rückschiebung im Sinne von Art. 5 Abs. 1 AsylG fänden. Demzufolge sei das Non-Refoulement-Gebot bezüglich des Heimat- oder Herkunftsstaates nicht zu prüfen. Zudem würden weder die in Spanien herrschende Situation noch andere Gründe gegen die Zumutbarkeit der Wegweisung in diesen Staat sprechen. Spanien sei ein Rechtsstaat mit funktionierendem Justizsystem. Sollte sie sich durch spanische Behörden ungerecht oder rechtswidrig behandelt fühlen, könne sie sich mit einer Beschwerde an die zuständigen Stellen wenden. Den Äusserungen und den eingereichten Unterlagen der Beschwerdeführerin sei jedoch zweifelsfrei zu entnehmen, dass die spanischen Behörden ihrem Schutzauftrag vollumfänglich nachgekommen seien und auch in Zukunft nachkommen würden. Die Behörden hätten ihre Anzeige wegen häuslicher Gewalt im Januar 2019 entgegengenommen, ihren Ehemann inhaftiert und Sanktionen gegen ihn verhängt. Folglich wäre es an ihr gewesen, Verstösse gegen diese Sanktionen den Behörden zu melden. Sie hätte dies als Direktbetroffene selber oder über ihre Anwältin machen können. Sie müsse sich vorhalten lassen, dies nicht getan zu haben. Die spanischen Behörden hätten ihr überdies für zwei Jahre Schutz in einem Frauenhaus angeboten. In Bezug auf die erwähnten gesundheitlichen Probleme erachte es den medizinischen Sachverhalt im vorliegenden Fall als ausreichend erstellt, um die Zulässigkeit und die Zumutbarkeit einer Wegweisung nach Spanien beurteilen zu können. Spanien verfüge über eine ausreichende medizinische Infrastruktur. Es lägen keine Hinweise vor, wonach der Zugang zur medizinischen Versorgung in Spanien nicht gewährleistet werde beziehungsweise keine adäquaten Behandlungen durchführt würden. Es wäre stossend, wenn die Beschwerdeführerin durch Berufung auf eine tatsächliche oder vermeintliche Selbstmordgefahr die Behörden zum Einlenken zwingen könnte. Schliesslich sei festzustellen, dass es nicht den Behörden angelastet werden könne, wenn die Beschwerdeführerin trotz umfassendem Betreuungsangebot für ihre Kinder eine stationäre Behandlung ihrer psychischen Probleme abgelehnt habe. Ausschlaggebend für eine Rückführung nach Spanien sei zudem ausschliesslich ihre Reisefähigkeit zum Zeitpunkt der Überstellung. Der Vollzug nach Spanien sei somit zumutbar. Ausserdem sei der Vollzug der Wegweisung technisch möglich und praktisch durchführbar.</w:t>
      </w:r>
    </w:p>
    <w:p>
      <w:r>
        <w:rPr>
          <w:b/>
        </w:rPr>
        <w:t>E. 4.2</w:t>
      </w:r>
    </w:p>
    <w:p>
      <w:r>
        <w:t>Auf Beschwerdeebene wird durch die Beschwerdeführerin - in einer handschriftlich ergänzten Beschwerdevorlage - geltend gemacht, sie sei nach Bekanntgabe des Asylentscheids aufgrund von Suizidgefahr umgehend in die psychiatrische Klinik eingewiesen worden. Weitere Beweismittel im Sinne eines Arztberichts würden zu einem späteren Zeitpunkt nachgereicht. Vor diesem Hintergrund werde um eine erneute Überprüfung der Sache ersucht, zumal bei einer Wegweisung nach Spanien insbesondere das Kindeswohl gefährdet wäre. Eine Ausweisung sei zum jetzigen Zeitpunkt für die Kinder nicht möglich.</w:t>
      </w:r>
    </w:p>
    <w:p>
      <w:r>
        <w:rPr>
          <w:b/>
        </w:rPr>
        <w:t>E. 5.1</w:t>
      </w:r>
    </w:p>
    <w:p>
      <w:r>
        <w:t>Gemäss Art. 31a Abs. 1 Bst. a AsylG wird auf Asylgesuche in der Regel nicht eingetreten, wenn Asylsuchende in einen sicheren Drittstaat nach Art. 6a Abs. 2 Bst. b AsylG zurückkehren können, in welchem sie sich vorher aufgehalten haben.</w:t>
      </w:r>
    </w:p>
    <w:p>
      <w:r>
        <w:rPr>
          <w:b/>
        </w:rPr>
        <w:t>E. 5.2</w:t>
      </w:r>
    </w:p>
    <w:p>
      <w:r>
        <w:t>Die Beschwerdeführerin und ihre beiden Kinder haben sich vor ihrer Einreise in die Schweiz in Spanien aufgehalten, wo ihnen am 15. September 2016 subsidiärer Schutzstatus zuerkannt wurde. Zudem haben die spanischen Behörden ihrer Rückkehr ausdrücklich zugestimmt. Spanien ist vom Bundesrat als sicherer Drittstaat im Sinne von Art. 6a Abs. 2 Bst. b AsylG bezeichnet worden. Die Voraussetzungen für ein Nichteintreten auf das Asylgesuch gestützt auf Art. 31a Abs. 1 Bst. a AsylG sind mithin grundsätzlich erfüllt.</w:t>
      </w:r>
    </w:p>
    <w:p>
      <w:r>
        <w:rPr>
          <w:b/>
        </w:rPr>
        <w:t>E. 6.1</w:t>
      </w:r>
    </w:p>
    <w:p>
      <w:r>
        <w:t>Gemäss Art. 44 AsylG verfügt das Staatssekretariat in der Regel die Wegweisung aus der Schweiz und ordnet den Vollzug an, wenn es das Asylgesuch ablehnt oder nicht darauf eintritt.</w:t>
      </w:r>
    </w:p>
    <w:p>
      <w:r>
        <w:rPr>
          <w:b/>
        </w:rPr>
        <w:t>E. 6.2</w:t>
      </w:r>
    </w:p>
    <w:p>
      <w:r>
        <w:t>Die Beschwerdeführenden verfügen in der Schweiz weder über eine ausländerrechtliche Aufenthaltsbewilligung noch über einen Anspruch auf Erteilung einer solchen. Die Wegweisung wurde demnach zu Recht angeordnet (Art. 44 AsylG; vgl. BVGE 2013/37 E. 4.4).</w:t>
      </w:r>
    </w:p>
    <w:p>
      <w:r>
        <w:rPr>
          <w:b/>
        </w:rPr>
        <w:t>E. 7</w:t>
      </w:r>
    </w:p>
    <w:p>
      <w:r>
        <w:t>Gemäss Art. 6a AsylG besteht zwar zugunsten sicherer Drittstaaten - wie Spanien als solcher vom Bundesrat bestimmt worden ist - die Vermutung, dass diese ihre völkerrechtlichen Verpflichtungen, darunter im Wesentlichen das Refoulement-Verbot und grundlegende menschenrechtliche Garantien, einhalten - so wie gestützt auf Art. 83 Abs. 5 AIG ferner die Vermutung besteht, dass eine Wegweisung in einen EU- oder EFTA-Staat in der Regel zumutbar ist. Es obliegt der betroffenen Person, diese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 Allerdings wird das Verwaltungs- respektive Asylverfahren auch vom Untersuchungsgrundsatz beherrscht (Art. 12 VwVG i.V.m. Art. 6 AsylG), wonach die Behörde von Amtes wegen für die richtige und vollständige Abklärung des rechtserheblichen Sachverhaltes im konkreten Einzelfall zu sorgen, die für das Verfahren notwendigen Unterlagen zu beschaffen, die rechtlich relevanten Umstände abzuklären und ordnungsgemäss darüber Beweis zu führen hat (vgl. BVGE 2015/10 E. 3.2). Das SEM ist demnach nicht nur befugt, sondern auch verpflichtet, zu ermitteln, ob trotz grundsätzlicher Erfüllung der Tatbestandsvoraussetzungen für einen Nichteintretensentscheid angezeigt ist, auf das Asylgesuch einzutreten. Demzufolge hat das Bundesverwaltungsgericht einzugreifen, wenn das SEM sein Ermessen nicht gesetzeskonform ausübt und damit Bundesrecht verletzt (vgl. zum Ganzen Urteil des BVGer D-6144/2015 vom 27. November 2017 E. 5.3.2 m.w.H.).</w:t>
      </w:r>
    </w:p>
    <w:p>
      <w:r>
        <w:rPr>
          <w:b/>
        </w:rPr>
        <w:t>E. 8.1</w:t>
      </w:r>
    </w:p>
    <w:p>
      <w:r>
        <w:t>Ist der Vollzug der Wegweisung nicht zulässig, nicht zumutbar oder nicht möglich, so regelt das SEM das Anwesenheitsverhältnis nach den gesetzlichen Bestimmungen über die vorläufige Aufnahme von Ausländerinnen und Ausländern (Art. 44 AsylG; Art. 83 Abs. 1 AIG).</w:t>
      </w:r>
    </w:p>
    <w:p>
      <w:r>
        <w:rPr>
          <w:b/>
        </w:rPr>
        <w:t>E. 8.2</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Unzumutbar kann der Vollzug der Wegweisung für Ausländerinnen und Ausländer gemäss Art. 83 Abs. 4 AIG dann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w:t>
      </w:r>
    </w:p>
    <w:p>
      <w:r>
        <w:t>Eine Prüfung der Akten ergibt, dass die Vorinstanz vorliegend der Untersuchungs- und Begründungspflicht im Hinblick auf das Vorliegen von Wegweisungsvollzugshindernissen nicht ausreichend nachgekommen ist. In Bezug auf die von der Beschwerdeführerin geltend gemachten Probleme mit ihrem Ex-Mann ist der Vorinstanz zwar recht zu geben, dass die spanischen Behörden ihren Schutzpflichten nachgekommen sind (vgl. vorstehend E. 5.1). So kann es nicht den spanischen Behörden angelastet werden, dass sich die Beschwerdeführerin nicht an sie wandte, als sich ihr Ex-Mann nicht an das Kontaktverbot hielt und sie und die Kinder erneut bedrohte. Im Weiteren sind vorliegend jedoch mit Bezug auf die Zumutbarkeit des Wegweisungsvollzugs sowohl der Gesundheitszustand der Beschwerdeführerin als auch das Kindeswohl zu berücksichtigen. Im vorinstanzlichen Verfahren war es bereits bekannt, dass die Beschwerdeführerin - eine alleinerziehende Mutter - psychische Probleme hat, welche zu einer stationären Behandlung geführt haben. Die Beschwerdeführerin musste gar per fürsorgerischer Unterbringung in Begleitung von zwei Polizisten in die psychiatrische Klinik überführt werden (vgl. SEM-Akte 1055175-41: Austrittsbericht vom 14. November 2019). Die Kinder blieben im Bundesasylzentrum zurück. Sobald sich die Beschwerdeführerin von ihrer Suizidalität distanzieren konnte, verliess sie die psychiatrische Klinik, um bei ihren zwei Kindern (fünf- und siebenjährig) im Bundesasylzentrum sein zu können. Gemäss Aktenlage ist die Beschwerdeführerin aktuell erneut in stationärer psychiatrischer Behandlung. Die beiden Kinder sind wiederum alleine im Bundesasylzentrum, weshalb das SEM am 10. Dezember 2019 abermals eine Gefährdungsmeldung an die Kindesschutzbehörde machen musste (SEM-Akte 1055175-50). Hinzu kommt, dass gemäss den Akten zum Zeitpunkt, als das SEM die Verfügung traf, noch medizinische Abklärungen in Bezug auf die Beschwerdeführerin im Gange waren, deren Ergebnisse ausstehend waren (vgl. SEM-Akte 1055175-43). Ob und in welchem Umfang auch in Bezug auf die Kinder Abklärungen getroffen wurden oder zu treffen sind, lässt sich den Akten nicht entnehmen. Damit die Durchführbarkeit des Wegweisungsvollzugs nach Spanien zuverlässig beurteilt werden kann, müssen zunächst die medizinischen Abklärungsergebnisse vorliegen. Wenn das SEM sich vorliegend auf den Standpunkt stellt, dass der Gesundheitszustand der Beschwerdeführerin im konkreten Fall nicht relevant sei, weil diesem Zustand bei der Frage der Überstellung Rechnung getragen werden könne, lässt es ausser Betracht, dass die Beschwerdeführerin die alleinige Verantwortung für ihre beiden noch sehr jungen Kinder trägt. Der Aspekt des Kindeswohls, dem bei der Beurteilung ebenfalls Rechnung zu tragen ist, wurde von der Vorinstanz bisher ausser Acht gelassen. Zusammenfassend ist festzustellen, dass die Vorinstanz den rechtserheblichen Sachverhalt weder rechtsgenüglich abgeklärt noch ihre Erwägungen betreffend die Durchführbarkeit des Wegweisungsvollzugs nach Spanien ausreichend begründet hat. Damit hat sie sowohl ihre Untersuchungspflicht als auch ihre Begründungspflicht verletzt (Art. 49 Bst. a und b VwVG; Art. 106 Abs. 1 Bst. a und b AsylG).</w:t>
      </w:r>
    </w:p>
    <w:p>
      <w:r>
        <w:rPr>
          <w:b/>
        </w:rPr>
        <w:t>E. 10.1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Urteil des BVGer E-6031/2019 vom 27. Dezember 2019 E. 6.4, m.w.H.).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w:t>
      </w:r>
    </w:p>
    <w:p>
      <w:r>
        <w:rPr>
          <w:b/>
        </w:rPr>
        <w:t>E. 10.2</w:t>
      </w:r>
    </w:p>
    <w:p>
      <w:r>
        <w:t>Im vorliegenden Fall ist die Sache an die Vorinstanz zurückzuweisen, zumal die Erstellung des Sachverhalts weiterer Abklärungen bedarf und diese den Rahmen des Beschwerdeverfahrens sprengen würden.</w:t>
      </w:r>
    </w:p>
    <w:p>
      <w:r>
        <w:rPr>
          <w:b/>
        </w:rPr>
        <w:t>E. 11</w:t>
      </w:r>
    </w:p>
    <w:p>
      <w:r>
        <w:t>Die Beschwerde ist somit gutzuheissen, soweit die Aufhebung der angefochtenen Verfügung beantragt wird. Die angefochtene Verfügung ist in Anwendung von Art. 61 Abs. 1 in fine VwVG aufzuheben, und die Sache ist zur vollständigen und richtigen Sachverhaltsermittlung sowie Neubeurteilung im Sinne der Erwägungen an das SEM zurückzuweisen.</w:t>
      </w:r>
    </w:p>
    <w:p>
      <w:r>
        <w:rPr>
          <w:b/>
        </w:rPr>
        <w:t>E. 12</w:t>
      </w:r>
    </w:p>
    <w:p>
      <w:r>
        <w:t>Angesichts des direkten Entscheids in der Hauptsache werden die Gesuche um Gewährung der aufschiebenden Wirkung der Beschwerde und Verzicht auf die Erhebung eines Kostenvorschusses gegenstandslos. Es ist in diesem Zusammenhang jedoch festzuhalten, dass der Beschwerde gegen einen entsprechenden Nichteintretensentscheid ohnehin aufschiebende Wirkung zukommt.</w:t>
      </w:r>
    </w:p>
    <w:p>
      <w:r>
        <w:rPr>
          <w:b/>
        </w:rPr>
        <w:t>E. 13</w:t>
      </w:r>
    </w:p>
    <w:p>
      <w:r>
        <w:t>Bei diesem Ausgang des Verfahrens sind keine Verfahrenskosten aufzuerlegen (vgl. Art. 63 Abs. 1 und 2 VwVG), weshalb das Gesuch um Gewährung der unentgeltlichen Rechtspflege gemäss Art. 65 Abs. 1 VwVG gegenstandslos wird. Schliesslich ist der nicht vertretenen Beschwerdeführerin kein Aufwand entstanden, weshalb ihr auch keine Entschädigung für Parteikosten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