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D-6583/2015 vom 2. Dezember 2015</w:t>
      </w:r>
    </w:p>
    <w:p>
      <w:r>
        <w:t>Bundesverwaltungsgericht, 2015-12-02, DE</w:t>
      </w:r>
    </w:p>
    <w:p>
      <w:r>
        <w:rPr>
          <w:b/>
        </w:rPr>
        <w:t xml:space="preserve">Quelle: </w:t>
      </w:r>
      <w:r>
        <w:t>https://mcp.opencaselaw.ch/entscheid/bvger_D-6583_2015</w:t>
      </w:r>
    </w:p>
    <w:p>
      <w:r>
        <w:t>FR: TAF D-6583/2015 du 2 décembre 2015</w:t>
      </w:r>
    </w:p>
    <w:p>
      <w:r>
        <w:t>IT: TAF D-6583/2015 del 2 dicembre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Der Zeitpunkt der Eröffnung der angefochtenen Verfügung steht mangels Rückschein bei den Akten nicht fest. Aus den Akten ist ersichtlich, dass die vorinstanzliche Verfügung vom 4. September 2015 von der Schweizerischen Vertretung in Colombo am 9. September 2015 versandt wurde. Im Weiteren steht fest, dass die Beschwerdeeingabe am 12. Oktober 2015 bei der Schweizerischen Vertretung eintraf. Mangels Rückschein steht somit nicht mit Bestimmtheit fest, ob die eingereichte Be­schwer­de rechtzeitig erfolgt ist. Da die Beweislast für die Zustellung an die Partei der eröffnenden Behörde obliegt (vgl. Moser/Beusch/Kneubühler, Prozessieren vor dem Bundesver­wal­tungsgericht, Basel, 2. Aufl. 2013, Rz. 3.150, S. 210), ist nach dem Gesagten zugunsten der Beschwerdeführenden davon auszugehen, dass die am 12. Oktober 2015 bei der Schweizerischen Vertretung eingetroffene Beschwerde rechtzeitig erfolgt ist.</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sich aus den wesentlichen Vorbringen des Beschwerdeführers, als ehemaliges Kader-Mitglied der LTTE immer wieder von den sri-lankischen Sicherheitsbehörden befragt und bedroht worden zu sein, keine asylrelevante Gefährdungssituation des Beschwerdeführers und dessen Familie ergebe.</w:t>
      </w:r>
    </w:p>
    <w:p>
      <w:r>
        <w:rPr>
          <w:b/>
        </w:rPr>
        <w:t>E. 5.4</w:t>
      </w:r>
    </w:p>
    <w:p>
      <w:r>
        <w:t>Wie das SEM zutreffend feststellt, ist die Furcht des Beschwerdeführers, aufgrund seiner gewichtigen Tätigkeit bei der LTTE erneut verhaftet und misshandelt zu werden, durchaus nachvollziehbar. Indessen ist diese mangels konkreter Anhaltspunkte objektiv nicht begründet. Zwar ist nicht auszuschliessen, dass der Beschwerdeführer wie geltend gemacht unter regelmässiger Beobachtung der sri-lankischen Sicherheitsbehörden steht. Jedoch war er keinen behördlichen Behelligungen von erheblicher Intensität ausgesetzt, was auf ein fehlendes Verfolgungsinteresse des sri-lankischen Staates schliessen lässt. Die im Jahre 2011 gehegte Befürchtung des Beschwerdeführers, von ehemaligen Angehörigen der LTTE verraten zu werden, hat sich offenkundig nicht bewahrheitet. Mit der Vorinstanz ist davon auszugehen, dass, sollten die Sicherheitsbehörden, wie vom Beschwerdeführer anlässlich der zweiten Anhörung vermutet, tatsächlich "einen geheimen Verdacht gegen ihn hegen", rigoroser gegen ihn vorgegangen wären. Diese Einschätzung wird durch den Umstand bekräftigt, dass das Engagement des Beschwerdeführers für die G.______keine weitere Verhaftung oder Befragung zur Folge gehabt hat. Auch wenn die Einschüchterungsversuche des CID sich belastend auf den Beschwerdeführer und seiner Familie auswirken, so ist doch nicht davon auszugehen, dass die Behelligungen die Beschwerdeführenden aus objektiver Sicht in die vom Asylgesetz geforderte Zwangslage versetzt haben, welche ihnen ein menschenunwürdiges Leben in Sri Lanka verunmöglicht oder in unzumutbarem Ausmass erschwert hätte (vgl. BVGE 2010/28 E. 3.3.1.1). An der Einschätzung der fehlenden konkreten Anhaltspunkte für eine begründeten Furcht vor künftiger Verfolgung vermögen weder die eingereichten Beweismittel, welche lediglich die als glaubhaft erachteten Vorbringen der Beschwerdeführenden stützen, noch die Argumente in der Beschwerde, welche überwiegend aus einer Wiederholung der im vor­instanzlichen Verfahren geltend gemachten Vorbringen und allgemeinen Ausführungen bestehen, etwas zu ändern. 6.Somit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7.Angesichts der fehlenden Gefährdungssituation im asylrechtlichen Sinn kann offenbleiben, ob der Beschwerdeführer wegen verwerflicher Handlungen nach Art. 53 AsylG von der Asylgewährung auszuschliessen wäre. Zusammenfassend ergibt sich, dass das SEM den Beschwerdeführenden zu Recht die Einreise in die Schweiz verweigert und deren Asylgesuche abgelehnt hat. 8.Aus diesen Erwägungen ergibt sich, dass die angefochtene Verfügung das Bundesrecht nicht verletzt und den rechtserheblichen Sachverhalt richtig sowie vollständig feststellt (Art. 106 Abs. 1 AsylG). Die Beschwerde ist daher abzuweisen. 9.Bei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