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D-6581/2015 vom 2. Februar 2016</w:t>
      </w:r>
    </w:p>
    <w:p>
      <w:r>
        <w:t>Bundesverwaltungsgericht, 2016-02-02, DE</w:t>
      </w:r>
    </w:p>
    <w:p>
      <w:r>
        <w:rPr>
          <w:b/>
        </w:rPr>
        <w:t xml:space="preserve">Quelle: </w:t>
      </w:r>
      <w:r>
        <w:t>https://mcp.opencaselaw.ch/entscheid/bvger_D-6581_2015</w:t>
      </w:r>
    </w:p>
    <w:p>
      <w:r>
        <w:t>FR: TAF D-6581/2015 du 2 février 2016</w:t>
      </w:r>
    </w:p>
    <w:p>
      <w:r>
        <w:t>IT: TAF D-6581/2015 del 2 febbraio 2016</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wird aus prozessökonomischen Gründen in Englisch akzeptiert, und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1.3</w:t>
      </w:r>
    </w:p>
    <w:p>
      <w:r>
        <w:t>Bei der Angabe in der angefochtenen Verfügung, wonach die Beschwerdeführerin auch Staatsbürgerin von Äthiopien ist, handelt es sich um ein Kanzleiversehen. Den Akten zufolge ist die Beschwerdeführerin lediglich Staatsbürgerin von Eritrea.</w:t>
      </w:r>
    </w:p>
    <w:p>
      <w:r>
        <w:rPr>
          <w:b/>
        </w:rPr>
        <w:t>E. 2</w:t>
      </w:r>
    </w:p>
    <w:p>
      <w:r>
        <w:t>Die Kognition des Bundesverwaltungsgerichts und die zulässigen Rügen richten sich im Asylbereich nach Art. 106 Abs. 1 AsylG, im Bereich des Ausländerrechts nach Art. 49 VwVG (vgl. BVGE 2014/26 E. 5; zur Kognition im Auslandsverfahren vgl. BVGE 2015/2).</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Mit den dringlichen Änderungen des Asylgesetzes vom 28. September 2012 (AS 2012 5359), welche am 29. September 2012 in Kraft getreten sind, wurden unter anderem die Bestimmungen betreffend die Einrei­chung von Asylgesuchen aus dem Ausland aufgehoben. Die Übergangsbestimmung (Ziffer III) hält jedoch fest, dass für die im Ausland vor dem Inkrafttreten der Änderung vom 28. September 2012 gestellten Gesuche die mass­geblichen Artikel (aArt. 12, 19, 20, 41 Abs. 2, 52 und 68 AsylG) in der bisherigen Fassung anwendbar sind. Demnach sind auf den vorliegenden Fall die altrechtlichen Bestimmungen betreffend das Asyl­verfahren anzuwenden.</w:t>
      </w:r>
    </w:p>
    <w:p>
      <w:r>
        <w:rPr>
          <w:b/>
        </w:rPr>
        <w:t>E. 5.1</w:t>
      </w:r>
    </w:p>
    <w:p>
      <w:r>
        <w:t>Ein Asylgesuch kann gemäss aArt. 19 AsylG im Ausland bei einer schweizerischen Vertretung gestellt werden, die es mit einem Bericht an das Bundesamt überweist (aArt. 20 Abs. 1 AsylG). Hinsichtlich des Verfahrens bei der schweizerischen Vertretung im Ausland sieht aArt. 10 der Asylverordnung 1 vom 11. August 1999 über Verfahrensfragen (AsylV 1, SR 142.311) vor, dass diese mit der asylsuchenden Person in der Regel eine Befragung durchführt (aArt. 10 Abs. 1 AsylV 1); ist dies nicht möglich, so wird die asylsuchende Person von der Vertretung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in diesem Fall im Sinne des rechtlichen Gehörs die Gelegenheit zu geben, sich zu einem abzusehenden negativen Entscheid zumindest schriftlich zu äussern (BVGE 2007/30 E. 5.7 S. 367).</w:t>
      </w:r>
    </w:p>
    <w:p>
      <w:r>
        <w:rPr>
          <w:b/>
        </w:rPr>
        <w:t>E. 5.2</w:t>
      </w:r>
    </w:p>
    <w:p>
      <w:r>
        <w:t>Im vorliegenden Fall wurde die Beschwerdeführerin von der Botschaft in Khartum zu ihrem Asylgesuch nicht befragt. Indes wurde sie im Rahmen des rechtlichen Gehörs mittels Schreiben vom 20. Juli 2015 zur weiteren Konkretisierung ihrer Asylgründe aufgefordert (vgl. Bst. B.c hiervor). In Verbindung mit den bereits vorgängig enthaltenen Fragestellungen sowie den entsprechenden Antworten der Beschwerdeführerin dazu (vgl. Bstn. B.a - B.d hiervor) konnte das SEM letztlich davon ausgehen, dass sämtliche für die Beurteilung des Asylgesuchs aus dem Ausland notwendigen Aspekte abgedeckt waren, namentlich die genauen Personalien der asylsuchenden Person, die detaillierten Asylvorbringen, die unternommenen Massnahmen zur Schutzsuche oder die Möglichkeit einer innerstaatlichen Fluchtalternative. Aufgrund der Schilderungen der Beschwerdeführerin durfte das SEM davon ausgehen, dass sämtliche für die Beurteilung des Asylgesuches aus dem Ausland notwendigen Sachverhaltsaspekte vorgebracht wurden. Das SEM ist zudem der Begründungspflicht des Anhörungsverzichts nachgekommen, so dass im vorliegenden Verfahren dem Anspruch der Beschwerdeführerin auf Gewährung des rechtlichen Gehörs Rechnung getragen und der entscheidwesentliche Sachverhalt in genügender Weise und umfassend abgeklärt wurde.</w:t>
      </w:r>
    </w:p>
    <w:p>
      <w:r>
        <w:rPr>
          <w:b/>
        </w:rPr>
        <w:t>E. 6.1</w:t>
      </w:r>
    </w:p>
    <w:p>
      <w:r>
        <w:t>Die Vorinstanz kann ein im Ausland gestelltes Asylgesuch ablehnen, wenn die asylsuchende Person keine Verfolgung glaubhaft machen kann oder ihr die Aufnahme in einem Drittstaat zugemutet werden kann (vgl. Art. 3, Art. 7 und aArt. 52 Abs. 2 AsylG).</w:t>
      </w:r>
    </w:p>
    <w:p>
      <w:r>
        <w:rPr>
          <w:b/>
        </w:rPr>
        <w:t>E. 6.2</w:t>
      </w:r>
    </w:p>
    <w:p>
      <w:r>
        <w:t>Gemäss aArt. 20 Abs. 2 AsylG bewilligt das SEM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(vgl. vorstehend C.)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7.1</w:t>
      </w:r>
    </w:p>
    <w:p>
      <w:r>
        <w:t>Nach Prüfung der Akten durch das Gericht ist in Übereinstimmung mit der Vorinstanz festzustellen, dass den von der Beschwerdeführerin geltend gemachten Vorkommnissen keine einreiserelevante Bedeutung zukommt. Die Vorinstanz hat in der angefochtenen Verfügung die Unstimmigkeiten in den Schilderungen der Beschwerdeführerin im Zusammenhang mit ihren Schwierigkeiten in Eritrea und ihrer Ausreise in den Sudan ausführlich dargelegt. Auf Beschwerdeebene hat die Beschwerdeführerin darauf verzichtet, die aufgezeigten Unstimmigkeiten zu erklären oder auszuräumen und sich darauf beschränkt, erneut die Gründe für ihre Gefährdung im Sudan, ihrem aktuellen Aufenthaltsort (einem Drittstaat), aufzuführen. Somit ist zu prüfen, ob einer allfälligen Asylgewährung durch die Schweiz der Asylausschlussgrund von aArt. 52 Abs. 2 AsylG entgegensteht, wonach einer Person das Asyl verweigert werden kann, wenn es ihr zugemutet werden kann, sich in einem anderen Staat um Aufnahme zu bemühen. Im Zusammenhang mit der Befürchtung der Beschwerdeführerin, sie könnte nach Eritrea ausgeschafft werden, ist Folgendes festzuhalten: Gemäss gesicherten Erkenntnissen des Bundesverwaltungsgerichts (vgl. statt vieler: Urteil des Bundesverwaltungsgerichts D-4904/2015 vom 4. September 2015 E. 6.6 S. 7 mit weiterem Hinweis sowie D-4230/2015 vom 22. Juli 2015 S. 10) ist das Risiko einer Deportation oder Verschleppung für Eritreer, die im Sudan vom UNHCR als Flüchtlinge anerkannt sind, gering. Wie bereits erwähnt, registriert das UNHCR sämtliche Eritreer, die sich in einem Flüchtlingslager melden, unabhängig davon weshalb sie Eritrea verlassen haben. Es gibt vorliegend auch keine konkreten Anhaltspunkte dafür, dass der Beschwerdeführerin eine Rückführung nach Eritrea drohen könnte. Auch verfügt sie nicht über ein geeignetes Risikoprofil, das eine Befürchtung vor einer Deportation nach Eritrea objektiv begründen könnte. Sie konnte auch nicht glaubhaft darlegen, persönlich faktisch und unmittelbar bedroht zu sein, und unter Verletzung des Non-Refoulement-Prinzips nach Eritrea zurückgeschafft zu werden. In diesem Zusammenhang ist ausserdem darauf hinzuweisen, dass das UNCHR den Sudan, der die Flüchtlingskonvention vom 28. Juli 1951 unterzeichnete (Konv. SR 0.142.30), an seine internationalen Verpflichtungen erinnert hat. Auch hat die Beschwerdeführerin jederzeit die Möglichkeit, sich bei einer Vertretung des UNHCR im Sudan zu melden, da sie den Flüchtlingsstatus durch das UNHCR erhalten hat. Das Bundesverwaltungsgericht stellt nicht in Abrede, dass das Leben in Khartum für eritreische Flüchtlinge nicht einfach ist und die Umstände im Sudan schwierig und teilweise unbefriedigend sind. Gemäss ihren Angaben in ihrem Asylgesuch vom 22. November 2011 lebt die Beschwerdeführerin mit ihrem Sohn sowie zwei jüngeren Familienangehörigen seit mehreren Jahren in Khartum, wo sie, trotz bescheidener Bezahlung, immer wieder versucht, Arbeit in einem "tea-room" zu finden. In ihrem Antwortschreiben vom 5. August 2015 erklärte die Beschwerdeführerin hingegen, sie habe keine Kinder und ausser ihr würden noch ihre Mutter und drei Brüder in Khartum leben. Sie habe versucht, sich mit dem Strassenverkauf von Tee ein Auskommen zu sichern. Dies sei jedoch schwierig. Bedingt durch die widersprüchlichen Schilderungen der Lebenssituation in Khartum sind keine Anhaltspunkte dafür zu erkennen, dass die Beschwerdeführerin nicht für den notwendigen Lebensunterhalt aufkommen kann, zumal sie schon lange in Khartum lebt, und allem Anschein nach bis anhin immer eine Möglichkeit gefunden hat, ihr Auskommen zu sichern. Abgesehen davon hat sie auch die Möglichkeit, sich wieder in das ihr ursprünglich zugewiesene Flüchtlingslager zu begeben, wo sie mit Schutz und ausreichender Versorgung rechnen kann. Überdies lebt im Sudan eine grosse eritreische Diaspora, die für in Not geratene Landsleute bereitsteht und weitgehend Unterstützung bietet. Folglich sind die dortigen Lebensumstände nicht dergestalt, dass auch ohne Bezug zur Schweiz eine Einreise in die Schweiz bewilligt werden müsste. Das Bundesverwaltungsgericht schliesst sich somit den Ausführungen des SEM vollumfänglich an, zumal sich aus der Beschwerde nichts ergibt, was die Erwägungen der Vorinstanz entkräften könnte. Vor diesem Hintergrund erübrigen sich auch weitere Ausführungen im Zusammenhang mit der illegalen Ausreise der Beschwerdeführerin aus Eritrea und dem Hinweis des SEM in der angefochtenen Verfügung, dass allenfalls allein die illegale Ausreise aus Eritrea zur Flüchtlingseigenschaft führen kann.</w:t>
      </w:r>
    </w:p>
    <w:p>
      <w:r>
        <w:rPr>
          <w:b/>
        </w:rPr>
        <w:t>E. 7.2</w:t>
      </w:r>
    </w:p>
    <w:p>
      <w:r>
        <w:t>Der Beschwerdeführerin ist es somit nicht gelungen, eine aktuelle Gefährdung im Sinne von Art. 3 AsylG aufzuzeigen, welche die Bewilligung der Einreise in die Schweiz rechtfertigen würde. Die Schutzbedürftigkeit der Beschwerdeführerin im Sinne von aArt. 20 i.V.m. Art. 3 AsylG ist nicht gegeben. Das SEM hat der Beschwerdeführerin zu Recht die Einreise in die Schweiz verweigert und das Asylgesuch abgelehnt.</w:t>
      </w:r>
    </w:p>
    <w:p>
      <w:r>
        <w:rPr>
          <w:b/>
        </w:rPr>
        <w:t>E. 8</w:t>
      </w:r>
    </w:p>
    <w:p>
      <w:r>
        <w:t>Aus diesen Erwägungen ergibt sich, dass die angefochtene Verfügung Bundesrecht nicht verletzt und den rechtserheblichen Sachverhalt richtig und vollständig feststellt (Art. 106 Abs. 1 AsylG). Die Beschwerde ist daher abzuweisen.</w:t>
      </w:r>
    </w:p>
    <w:p>
      <w:r>
        <w:rPr>
          <w:b/>
        </w:rPr>
        <w:t>E. 9</w:t>
      </w:r>
    </w:p>
    <w:p>
      <w:r>
        <w:t>Bei diesem Ausgang des Verfahrens wären dessen Kosten grundsätzlich der Beschwerdeführerin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