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D-6577/2014 vom 4. Mai 2015</w:t>
      </w:r>
    </w:p>
    <w:p>
      <w:r>
        <w:t>Bundesverwaltungsgericht, 2015-05-04, DE</w:t>
      </w:r>
    </w:p>
    <w:p>
      <w:r>
        <w:rPr>
          <w:b/>
        </w:rPr>
        <w:t xml:space="preserve">Quelle: </w:t>
      </w:r>
      <w:r>
        <w:t>https://mcp.opencaselaw.ch/entscheid/bvger_D-6577_2014</w:t>
      </w:r>
    </w:p>
    <w:p>
      <w:r>
        <w:t>FR: TAF D-6577/2014 du 4 mai 2015</w:t>
      </w:r>
    </w:p>
    <w:p>
      <w:r>
        <w:t>IT: TAF D-6577/2014 del 4 maggio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von der Vertretung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im Sinne des rechtlichen Gehörs die Gelegenheit zu geben, sich zu einem abzusehenden negativen Entscheid zumindest schriftlich zu äussern (BVGE 2007/30 E. 5.7 S. 367).</w:t>
      </w:r>
    </w:p>
    <w:p>
      <w:r>
        <w:rPr>
          <w:b/>
        </w:rPr>
        <w:t>E. 5.2</w:t>
      </w:r>
    </w:p>
    <w:p>
      <w:r>
        <w:t>Im vorliegenden Fall wurden die Beschwerdeführenden von der Botschaft in Khartum zu ihrem Asylgesuch nicht befragt. Indes wurden sie im Rahmen des rechtlichen Gehörs mittels Schreiben vom 27. Mai 2014 zur weiteren Konkretisierung ihrer Asylgründe aufgefordert (vgl. Bst. B.a hiervor). In Verbindung mit den bereits vorgängig enthaltenen Fragestellungen sowie den entsprechenden Antworten der Beschwerdeführenden dazu (vgl. Bstn. B.a und B.b hiervor) konnte das SEM letztlich davon ausgehen, dass sämtliche für die Beurteilung des Asylgesuchs aus dem Ausland notwendigen Aspekte abgedeckt waren, namentlich die genauen Personalien der asylsuchenden Personen, die detaillierten Asylvorbringen, die unternommenen Massnahmen zur Schutzsuche oder die Möglichkeit einer innerstaatlichen Fluchtalternative. Dabei ist festzustellen, dass sich die Beschwerdeführenden in allen ihren Eingaben grundsätzlich auf den gleichen Sachverhalt beriefen. Aufgrund der Schilderungen der Beschwerdeführenden durfte das SEM davon ausgehen, dass sämtliche für die Beurteilung des Asylgesuches aus dem Ausland notwendigen Sachverhaltsaspekte vorgebracht wurden. Das SEM ist zudem der Begründungspflicht des Anhörungsverzichts nachgekommen, so dass im vorliegenden Verfahren dem Anspruch der Beschwerdeführenden (Eltern) auf Gewährung des rechtlichen Gehörs Rechnung getragen und der entscheidwesentliche Sachverhalt in genügender Weise und umfassend abgeklärt wurde.</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das SEM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Nach Prüfung der Akten durch das Gericht ist festzustellen, dass die Vorinstanz in der angefochtenen Verfügung überzeugend dargelegt hat, dass den von den Beschwerdeführenden geltend gemachten Vorkommnissen keine einreiserelevante Bedeutung zukommt. Es kann deshalb vorab auf die vorinstanzlichen Erwägungen verwiesen werden (vgl. vorstehend Bst. D.). An dieser Einschätzung können auch die weiteren Ausführungen der Beschwerdeführenden in ihrer Rechtsmitteleingabe nichts ändern, zumal die Beschwerdeführenden lediglich an ihren bisherigen Vorbringen festhielten und erklärten, sie seien im Sudan, in Eritrea und in Äthiopien gefährdet. Die Beschwerdeführenden halten sich in einem Drittstaat, dem Sudan auf. Zwar anerkennt das Bundesverwaltungsgericht, dass die Umstände im Sudan schwierig und teilweise unbefriedigend sind. Dennoch sind sie nicht dergestalt, dass auch ohne Bezug zur Schweiz eine Einreise in die Schweiz bewilligt werden müsste. Das Bundesverwaltungsgericht schliesst sich somit den Ausführungen der Vorinstanz vollumfänglich an, zumal sich aus der Beschwerde nichts ergibt, was die Erwägungen der Vorinstanz entkräften könnte.</w:t>
      </w:r>
    </w:p>
    <w:p>
      <w:r>
        <w:rPr>
          <w:b/>
        </w:rPr>
        <w:t>E. 6.4</w:t>
      </w:r>
    </w:p>
    <w:p>
      <w:r>
        <w:t>Somit ist es den Beschwerdeführenden nicht gelungen, eine aktuelle Gefährdung im Sinne von Art. 3 AsylG aufzuzeigen, welche die Bewilligung der Einreise in die Schweiz rechtfertigen würde. Die Schutzbedürftigkeit der Beschwerdeführenden im Sinne von aArt. 20 i.V.m. Art. 3 AsylG ist nicht gegeben. Das SEM hat den Beschwerdeführenden zu Recht die Einreise in die Schweiz verweigert und das Asylgesuch abgelehnt.</w:t>
      </w:r>
    </w:p>
    <w:p>
      <w:r>
        <w:rPr>
          <w:b/>
        </w:rPr>
        <w:t>E. 7</w:t>
      </w:r>
    </w:p>
    <w:p>
      <w:r>
        <w:t>Aus diesen Erwägungen ergibt sich, dass die angefochtene Verfügung Bundesrecht nicht verletzt und den rechtserheblichen Sachverhalt richtig und vollständig feststellt (Art. 106 Abs. 1 AsylG). Die Beschwerde ist daher abzuweisen.</w:t>
      </w:r>
    </w:p>
    <w:p>
      <w:r>
        <w:rPr>
          <w:b/>
        </w:rPr>
        <w:t>E. 8</w:t>
      </w:r>
    </w:p>
    <w:p>
      <w:r>
        <w:t>Bei diesem Ausgang des Verfahrens wären dessen Kosten grundsätzlich den Beschwerdeführenden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