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D-6577/2008 vom 4. März 2010</w:t>
      </w:r>
    </w:p>
    <w:p>
      <w:r>
        <w:t>Bundesverwaltungsgericht, 2010-03-04, DE</w:t>
      </w:r>
    </w:p>
    <w:p>
      <w:r>
        <w:rPr>
          <w:b/>
        </w:rPr>
        <w:t xml:space="preserve">Quelle: </w:t>
      </w:r>
      <w:r>
        <w:t>https://mcp.opencaselaw.ch/entscheid/bvger_D-6577_2008</w:t>
      </w:r>
    </w:p>
    <w:p>
      <w:r>
        <w:t>FR: TAF D-6577/2008 du 4 mars 2010</w:t>
      </w:r>
    </w:p>
    <w:p>
      <w:r>
        <w:t>IT: TAF D-6577/2008 del 4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w:t>
      </w:r>
    </w:p>
    <w:p>
      <w:r>
        <w:rPr>
          <w:b/>
        </w:rPr>
        <w:t>E. 6.1</w:t>
      </w:r>
    </w:p>
    <w:p>
      <w:r>
        <w:t>Der Beschwerdeführer begründete sein Asylgesuch im Wesentlichen damit, er fürchte sich aufgrund seiner früheren Festnahmen davor, abermals behördlich festgenommen oder gar entführt und dabei möglicherweise das Opfer einer extralegalen Tötung zu werden. Es trifft zu, dass der Beschwerdeführer in der Vergangenheit zumindest zweimal unter dem Verdacht, Kontakte zur LTTE gepflegt beziehungsweise für diese terroristische Akte vorbereitet zu haben, im Jahre 1998 14 Tage respektive zwischen 2007 und 2008 sechs Monate lang inhaftiert war. Wie das BFM in diesem Zusammenhang indessen zutreffend erwogen hat, weist gerade der Umstand, dass sich der im August 2007 zusammen mit dem Beschwerdeführer verhaftete F.___________ seiner Ehefrau nach wie vor in Haft befindet, wogegen er selbst Mitte Februar 2008 freigelassen worden ist, deutlich darauf hin, dass die heimatlichen Behörden nunmehr von seiner Unschuld ausgehen und ihm keine terroristischen Aktivitäten zugunsten der LTTE mehr unterstellen. Diese Einschätzung wird dadurch bekräftigt, dass der Beschwerdeführer im Besitze eines am 17. April 2008 - mithin nach seiner Freilassung aus der letzten Haft - in Colombo ausgestellten persönlichen Reisepasses ist (vgl. act. A7 S. 2 Ziff. 1.1), mit dem er am 8. Mai 2008 nach Indien reisen und am 16. Juni 2008 von dort wieder in seine Heimat zurückkehren konnte. Hätte tatsächlich noch ein anhaltendes Verfolgungsinteresse der srilankischen Behörden an seiner Person bestanden, hätten ihn diese mit grösster Wahrscheinlichkeit anlässlich seiner Ausreise oder Wiedereinreise festgenommen, was indessen nach eigenem Bekunden des Beschwerdeführers nicht der Fall war (vgl. act. A7 S. 5 Ziff. 3). Im Weiteren entspricht auch die Tatsache, dass der Beschwerdeführer trotz verwandtschaftlicher Bande in Indien (vgl. act. A7 S. 5 Ziff. 3) nicht dort blieb, sondern Mitte Juni 2008 nach Sri Lanka zurückkehrte, nicht dem Verhaltensmuster einer Person, welche tatsächlich künftige Nachteile asylbeachtlichen Ausmasses in ihrer Heimat befürchtet. Daran ändert auch die Tatsache nichts, dass der Beschwerdeführer am 20. Juni 2008 in Colombo zu einer Befragung durch die schweizerische Vertretung in Colombo vorgeladen wurde, wäre es ihm doch ohne Weiteres möglich gewesen, sich zwecks Weiterverfolgung seines Asylgesuchs an eine schweizerische Vertretung in Indien zu wenden.</w:t>
      </w:r>
    </w:p>
    <w:p>
      <w:r>
        <w:rPr>
          <w:b/>
        </w:rPr>
        <w:t>E. 6.2</w:t>
      </w:r>
    </w:p>
    <w:p>
      <w:r>
        <w:t>Soweit der Beschwerdeführer zumindest sinngemäss die Befürchtung äussert, in Colombo (oder sonstwo im Süden seines Heimatlandes) Schwierigkeiten mit den srilankischen Sicherheitskräften bekommen zu können, ist Folgendes festzuhalten: Das Bundesverwaltungsgericht hat im Grundsatzurteil BVGE 2008/2 eine Lageanalyse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wie der Beschwerdeführer Gefahr, überall und jederzeit von srilankischem Sicherheitspersonal einer minutiösen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Vor diesem Hintergrund vermögen die zumindest sinngemäss angedeuteten Befürchtungen des Beschwerdeführers, immer wieder an Checkpoints in Colombo angehalten beziehungsweise kontrolliert zu werden, nicht zur Anerkennung der Flüchtlingseigenschaft zu führen, zumal er seit Einreichung seiner Beschwerde im Oktober 2008 keine weiteren Vorkommnisse mehr geltend gemacht hat.</w:t>
      </w:r>
    </w:p>
    <w:p>
      <w:r>
        <w:rPr>
          <w:b/>
        </w:rPr>
        <w:t>E. 6.3</w:t>
      </w:r>
    </w:p>
    <w:p>
      <w:r>
        <w:t>Zusammenfassend ist festzustellen, dass es dem Beschwerdeführer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