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D-6576/2009 vom 24. Mai 2011</w:t>
      </w:r>
    </w:p>
    <w:p>
      <w:r>
        <w:t>Bundesverwaltungsgericht, 2011-05-24, DE</w:t>
      </w:r>
    </w:p>
    <w:p>
      <w:r>
        <w:rPr>
          <w:b/>
        </w:rPr>
        <w:t xml:space="preserve">Quelle: </w:t>
      </w:r>
      <w:r>
        <w:t>https://mcp.opencaselaw.ch/entscheid/bvger_D-6576_2009</w:t>
      </w:r>
    </w:p>
    <w:p>
      <w:r>
        <w:t>FR: TAF D-6576/2009 du 24 mai 2011</w:t>
      </w:r>
    </w:p>
    <w:p>
      <w:r>
        <w:t>IT: TAF D-6576/2009 del 24 maggio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ihrer Beschwerdeschrift vom 18. Oktober 2009 macht die Beschwerdeführerin zur Begründung im Wesentlichen geltend, nicht sie selbst, sondern ihr Vater habe sich unzutreffend geäussert, als er behauptet habe, seine Mutter sei während der Entführung einer der Tanten getötet worden. Wie sich nämlich aus einer Gerichtsbestätigung ergebe, sei es ihre Grossmutter mütterlicherseits gewesen, die getötet worden sei. Die Frage, ob damals die Mutter des Vaters oder die Grossmutter mütterlicherseits zu Tode gekommen sei, ändere indessen nichts an der weiter bestehenden Gefahrenlage für die Beschwerdeführerin. Sie sei in der Türkei von ihren Feinden vergewaltigt und anschliessend mit dem Tode bedroht worden. Nun fürchte sie sich vor ihnen und gleichfalls von der Kenntnisnahme des wahren Sachverhalts durch ihre Eltern. Ihre Probleme hätten zu einem Suizidversuch geführt. Die Erwägungen der Vorinstanz zum Sachverhalt seien unzutreffend. Demgegenüber könne sie als Indiz für die Richtigkeit ihrer Vorbringen die freiwillige Rückkehr in die Türkei nach ihrem dreimonatigen Aufenthalt in der Schweiz ins Feld führen. Verhielte es sich so, wie das BFM behaupte, so wäre sie damals nicht in die Türkei zurückgekehrt, sondern gleich in der Schweiz geblieben. Was die widersprüchlichen Angaben der Beschwerdeführerin anbelange, so sei eine gerichtliche psychiatrische Begutachtung einzuholen, dränge sich doch der Eindruck auf, die Widersprüche seien medizinisch indiziert; jedenfalls sei die Beschwerdeführerin traumatisiert. Was den Vollzug der Wegweisung der Beschwerdeführerin betreffe, sei darauf hinzuweisen, dass ihre ganze Familie in der Schweiz lebe, sie sich an die neue Umgebung gewöhnt habe, weshalb die Ausschaffung nach ihrem derzeitigen Aufenthalt in der Schweiz noch einmal ein harter Schlag für die psychisch zerstörte Beschwerdeführerin wäre.</w:t>
      </w:r>
    </w:p>
    <w:p>
      <w:r>
        <w:rPr>
          <w:b/>
        </w:rPr>
        <w:t>E. 4.2</w:t>
      </w:r>
    </w:p>
    <w:p>
      <w:r>
        <w:t>Diese Vorbringen in der Beschwerdeschrift vermögen indessen nicht zu einer veränderten Betrachtungsweise zu führen, zumal die sogenannte Gerichtsbestätigung vom 1. März 2005 zum einen lediglich in Kopie vorliegt und zum anderen den Eindruck erweckt, der Aussteller der Urkunde, ein türkischer Strafrichter, sei mit der Terminologie seines Fachgebiets nicht vertraut. Dementsprechend entfaltet dieses Dokument ebenso wenig Beweiswert wie die Bestätigung vom 25. November 2004 des Dorfvorsteheramts, welche sich als Gefälligkeitsschreiben charakterisiert und im Übrigen inhaltlich insoweit im Widerspruch steht zur Gerichtsbestätigung vom 1. März 2005, als der Strafrichter einen anderen Entlassungsgrund angab. Darüber hinaus bleibt der Widerspruch bezüglich der Identität des Mordopfers zwischen den entsprechenden Vorbringen ihres Vaters und denjenigen der Beschwerdeführerin bestehen, zumal ein Beweis für die Identität des Mordopfers fehlt. Bezeichnenderweise war es der Beschwerdeführerin lediglich möglich, die Fotokopie der obgenannten Gerichtsbestätigung, nicht aber das (echte) Strafurteil gegen den oder die Täter zu beschaffen. Dementsprechend erweist sich schon die Vorgeschichte zur späteren Vergewaltigung der Beschwerdeführerin als unglaubhaft. Auch bezüglich der angeblichen Vergewaltigung der Beschwerdeführerin fielen die Vorbringen widersprüchlich aus, insbesondere bezüglich der Chronologie. Zur Vermeidung von Wiederholungen kann in diesem Zusammenhang auf die zutreffenden Erwägungen in der angefochtenen Verfügung verwiesen werden. An der dort vertretenen Betrachtungsweise vermag auch die Rekonstruktion des Hymens der Beschwerdeführerin in der Schweiz nichts zu ändern, lassen doch Muslimas derartige Operationen nicht nur nach Vergewaltigungen vornehmen. Dementsprechend beweisen auch die eingereichten Spitaldokumente keine Vergewaltigung und sind angesichts der zahlreichen Unstimmigkeiten bei den Begleitumständen nicht einmal ein Indiz für eine solche. Die widersprüchlichen Angaben lassen sich auch nicht auf die psychische Verfassung der Beschwerdeführerin zurückführen, die sich dem psychiatrischen Arztbericht vom 7. Oktober 2010 zufolge als posttraumatische Belastungsstörung verbunden mit einer leichten depressiven Episode charakterisieren lässt. Umgekehrt lassen sich weder aus dem geltend gemachten Suizidversuch noch aus der Diagnose einer posttraumatischen Belastungsstörung irgendwelche Schlüsse bezüglich tatsächlicher Erlebnisse der Beschwerdeführerin in der Türkei ableiten, weshalb es sich im Rahmen des Instruktionsverfahrens erübrigte, von Amtes wegen ein ärztliches Gutachten erstellen zu lassen.</w:t>
      </w:r>
    </w:p>
    <w:p>
      <w:r>
        <w:rPr>
          <w:b/>
        </w:rPr>
        <w:t>E. 4.3</w:t>
      </w:r>
    </w:p>
    <w:p>
      <w:r>
        <w:t>Bei dieser Sachlage erübrigt es sich, auf weitere Vorbringen und Beweismittel näher einzugehen oder den vorinstanzlichen Entscheid zu kassieren und zu neuem Entscheid an die Vorinstanz zurückzuweisen. Zusammenfassend ist festzustellen, dass bei der Beschwerdeführerin keine Verfolgung im Sinne von Art. 3 AsylG vorliegt und sie nicht als Flüchtling anerkannt werden kann. Mangels erfüllter Flüchtlingseigenschaft ist ihr zu Recht das nachgesuchte Asyl nicht gewährt worden.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nicht als unzulässig erscheinen. An dieser Betrachtungsweise ändert auch die mutmassliche Suizidalität der Beschwerdeführerin nichts, zumal es in der Türkei zahlreiche Kliniken gibt, in denen die Beschwerdeführerin nötigenfalls Aufnahme finden kann, falls eine ambulante Therapie nicht ausreicht.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6.5</w:t>
      </w:r>
    </w:p>
    <w:p>
      <w:r>
        <w:t>Angesichts der heutigen Lage in der Türkei kann nicht von einer Situation allgemeiner Gewalt oder von kriegerischen oder bürgerkriegsähnlichen Verhältnissen auf dem ganzen Staatsgebiet gesprochen werden, welche für die Beschwerdeführerin bei einer Rückkehr eine konkrete Gefährdung darstellen würden. Zudem gibt es auch keine Hinweise, aufgrund derer geschlossen werden könnte, die den Akten zufolge junge und physisch gesunde Beschwerdeführerin gerate im Falle ihrer Rückkehr in den Heimatstaat in eine existenzbedrohende Situation. Aufgrund der Akten ist davon auszugehen, die Beschwerdeführerin habe vom Jahre 2003 an ohne ihre Eltern in der Türkei gelebt, und dies aus Gründen der Sozialadäquanz bei Verwandten mütter- oder väterlicherseits. Es gibt keinen Anlass zur Annahme, dass ihr diese Möglichkeit inskünftig verwehrt sein sollte, oder dass ihre Eltern ihr die bislang gewährte finanzielle Unterstützung versagen würden. Wie sich aus den zutreffenden Erwägungen des angefochtenen Entscheids ergibt, verfügt die Beschwerdeführerin über ein ausreichendes soziales Netz, wenngleich sie dieses unverzagt zu dissimulieren sucht. Aus den Akten (A14 Beweismittel 1 - 8) lässt sich zudem auf den Umfang des bisherigen faktischen Zugangs zu psychiatrischer Behandlung in der Türkei schliessen, weshalb davon auszugehen ist, der Zugang zur allenfalls erforderlichen psychiatrischen Versorgung werde ihr auch nach der Rückkehr in den Heimatstaat offen stehen. Zusätzlich besteht die Möglichkeit, ein Gesuch um medizinische Rückkehrhilfe zu stellen. Nach dem Gesagten erweist sich der Vollzug der Wegweisung auch als zumutbar.</w:t>
      </w:r>
    </w:p>
    <w:p>
      <w:r>
        <w:rPr>
          <w:b/>
        </w:rPr>
        <w:t>E. 6.6</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6.7</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der Beschwerdeführerin aufzuerlegen (Art. 63 Abs. 1 VwVG), auf insgesamt Fr. 600.- festzusetzen (Art. 1 - 3 des Reglements vom 21. Februar 2008 über die Kosten und Entschädigungen vor dem Bundesverwaltungsgericht [VGKE, SR 173.320.2]) und mit dem am 9. November 2009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