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D-6575/2017 vom 16. Mai 2019</w:t>
      </w:r>
    </w:p>
    <w:p>
      <w:r>
        <w:t>Bundesverwaltungsgericht, 2019-05-16, DE</w:t>
      </w:r>
    </w:p>
    <w:p>
      <w:r>
        <w:rPr>
          <w:b/>
        </w:rPr>
        <w:t xml:space="preserve">Quelle: </w:t>
      </w:r>
      <w:r>
        <w:t>https://mcp.opencaselaw.ch/entscheid/bvger_D-6575_2017</w:t>
      </w:r>
    </w:p>
    <w:p>
      <w:r>
        <w:t>FR: TAF D-6575/2017 du 16 mai 2019</w:t>
      </w:r>
    </w:p>
    <w:p>
      <w:r>
        <w:t>IT: TAF D-6575/2017 del 16 maggio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VwVG). Auf die frist- und formgerecht eingereichte Beschwerde ist einzutreten (Art. a108 Abs. 2 AsylG und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Das SEM kam im angefochtenen Entscheid zum Schluss, die Vorbringen der Beschwerdeführerin würden den Anforderungen an die Flüchtlingseigenschaft nicht genügen. Bei den kriegerischen Auseinandersetzungen und deren Auswirkungen auf die Lebensbedingungen der lokalen Bevölkerung handle es sich nicht um Verfolgungsmassnahmen im Sinne von Art. 3 AsylG. Ebenso nicht asylrelevant seien die Kontrollen an Checkpoints. Diese seien in der allgemeinen Situation in Syrien und des herrschenden Bürgerkrieges begründet und träfen grosse Teile der Bevölkerung in ähnlicher Weise.</w:t>
      </w:r>
    </w:p>
    <w:p>
      <w:r>
        <w:rPr>
          <w:b/>
        </w:rPr>
        <w:t>E. 5.2</w:t>
      </w:r>
    </w:p>
    <w:p>
      <w:r>
        <w:t>Die Beschwerdeführerin brachte in der Rechtsmittelschrift vor, in Syrien drohe ihr eine Reflexverfolgung wegen der Dienstverweigerung ihres Sohnes.</w:t>
      </w:r>
    </w:p>
    <w:p>
      <w:r>
        <w:rPr>
          <w:b/>
        </w:rPr>
        <w:t>E. 6</w:t>
      </w:r>
    </w:p>
    <w:p>
      <w:r>
        <w:t>Das Bundesverwaltungsgericht gelangt nach Durchsicht der Akten zum Schluss, dass die Vorinstanz das Asylgesuch der Beschwerdeführerin zu Recht und aus zutreffenden Gründen abgelehnt hat. Es kann anstelle von Wiederholungen vollumfänglich auf die Ausführungen in der angefochtenen Verfügung verwiesen werden. Die Ausführungen auf Beschwerdeebene sind nicht geeignet, zu einer anderen Beurteilung zu gelangen. Die Beschwerdeführerin vermag mit der vorgebrachten Reflexverfolgung aufgrund der Dienstverweigerung ihres Sohnes keine begründete Furcht vor einer Verfolgung im Falle einer Rückkehr darzulegen. Das Gericht kam im zeitlich koordinierten Beschwerdeverfahren des Sohnes zum Schluss, dass diesbezüglich keine asylrelevante Verfolgung angenommen werden könne und das SEM zutreffend festgestellt habe, die Flüchtlingseigenschaft des Sohnes sei nicht erfüllt (vgl. Urteil des BVGer D-6503/2017 vom 16. Mai 2019). Eine Reflexverfolgung der Beschwerdeführerin ist somit zu verneinen.</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7.2</w:t>
      </w:r>
    </w:p>
    <w:p>
      <w:r>
        <w:t>Präzisierend ist festzuhalten, dass sich aus den vorstehenden Erwägungen nicht der Schluss ergibt, die Beschwerdeführerin sei zum heutigen Zeitpunkt in ihrem Heimatstaat nicht gefährdet. Eine solche Gefährdungslage ist jedoch auf die in Syrien herrschende Bürgerkriegssituation zurückzuführen. Das SEM hat dieser generellen Gefährdung Rechnung getragen und die Beschwerdeführerin gestützt auf Art. 83 Abs. 1 und 4 AIG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