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D-6574/2015 vom 22. September 2016</w:t>
      </w:r>
    </w:p>
    <w:p>
      <w:r>
        <w:t>Bundesverwaltungsgericht, 2016-09-22, DE</w:t>
      </w:r>
    </w:p>
    <w:p>
      <w:r>
        <w:rPr>
          <w:b/>
        </w:rPr>
        <w:t xml:space="preserve">Quelle: </w:t>
      </w:r>
      <w:r>
        <w:t>https://mcp.opencaselaw.ch/entscheid/bvger_D-6574_2015</w:t>
      </w:r>
    </w:p>
    <w:p>
      <w:r>
        <w:t>FR: TAF D-6574/2015 du 22 septembre 2016</w:t>
      </w:r>
    </w:p>
    <w:p>
      <w:r>
        <w:t>IT: TAF D-6574/2015 del 22 settembre 2016</w:t>
      </w:r>
    </w:p>
    <w:p>
      <w:pPr>
        <w:pStyle w:val="Heading2"/>
      </w:pPr>
      <w:r>
        <w:t>Regeste</w:t>
      </w:r>
    </w:p>
    <w:p>
      <w:r>
        <w:t>Asyl und Wegweisung</w:t>
      </w:r>
    </w:p>
    <w:p>
      <w:pPr>
        <w:pStyle w:val="Heading2"/>
      </w:pPr>
      <w:r>
        <w:t>Erwägungen</w:t>
      </w:r>
    </w:p>
    <w:p>
      <w:r>
        <w:rPr>
          <w:b/>
        </w:rPr>
        <w:t>E. 1.1</w:t>
      </w:r>
    </w:p>
    <w:p>
      <w:r>
        <w:t>Das Bundesverwaltungsgericht entscheidet gemäss Art. 105 AsylG endgültig über Beschwerden gegen Verfügungen des BFM beziehungsweise SEM auf dem Gebiet des Asyls, ausser bei Vorliegen eines Auslieferungsersuchens des Staates, vor welchem die beschwerdeführende Person Schutz sucht (Art. 83 Bst. d Ziff. 1 des Bundesgerichtsgesetzes vom 17. Juni 2005 [BGG, SR 173.110]); eine solche Ausnahme liegt nicht vor. Das Bundesverwaltungsgericht ist ausserdem zuständig für die Revision von Urteilen, die es in seiner Funktion als Beschwerdeinstanz gefällt hat (vgl. BVGE 2007/21 E. 2.1 S. 242).</w:t>
      </w:r>
    </w:p>
    <w:p>
      <w:r>
        <w:rPr>
          <w:b/>
        </w:rPr>
        <w:t>E. 1.2</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3. Aufl. Bern 2009, § 31 Rz 24 f., S. 289).</w:t>
      </w:r>
    </w:p>
    <w:p>
      <w:r>
        <w:rPr>
          <w:b/>
        </w:rPr>
        <w:t>E. 1.3</w:t>
      </w:r>
    </w:p>
    <w:p>
      <w:r>
        <w:t>Gemäss Art. 45 des Verwaltungsgerichtsgesetzes vom 17. Juni 2005 (VGG, SR 173.32) gelten für die Revision von Urteilen des Bundesverwaltungsgerichts die Art. 121 - 128 BGG sinngemäss. Bezüglich Inhalt, Form und Ergänzung des Revisionsgesuches gelangt Art. 67 Abs. 3 VwVG zur Anwendung (Art. 47 VGG).</w:t>
      </w:r>
    </w:p>
    <w:p>
      <w:r>
        <w:rPr>
          <w:b/>
        </w:rPr>
        <w:t>E. 1.4</w:t>
      </w:r>
    </w:p>
    <w:p>
      <w:r>
        <w:t>In der Begründung eines Gesuchs um Revision eines Beschwerde­entscheides des Bundesverwaltungsgericht ist insbesondere der an­gerufene Revisionsgrund (Art. 121 - 123) anzugeben und die Recht­zeitigkeit des Begehrens nach den Bestimmungen von Art. 124 BGG darzutun (Art. 67 Abs. 3 VwVG).</w:t>
      </w:r>
    </w:p>
    <w:p>
      <w:r>
        <w:rPr>
          <w:b/>
        </w:rPr>
        <w:t>E. 2.1</w:t>
      </w:r>
    </w:p>
    <w:p>
      <w:r>
        <w:t>Der Gesuchsteller macht in der Begründung seiner Revisions­ein­gabe den Revisionsgrund des nachträglichen Erfahrens erheblicher Tat­sachen und des nachträglichen Auffindens entscheidender Beweis­mittel im Sinne von Art. 123 Abs. 2 Bst. a BGG (so genannte unechte Noven) geltend. Es ist von der Rechtzeitigkeit des Re­visionsbegehrens und einer hinreichenden Begründung auszugehen.</w:t>
      </w:r>
    </w:p>
    <w:p>
      <w:r>
        <w:rPr>
          <w:b/>
        </w:rPr>
        <w:t>E. 2.2</w:t>
      </w:r>
    </w:p>
    <w:p>
      <w:r>
        <w:t>Das Revisionsgesuch erfüllt auch die übrigen formellen Anforderungen an dieses Rechtsmittel (Art. 52 Abs. 1 VwVG i.V.m Art. 67 Abs. 3 VwVG) und wurde innerhalb der gesetzlichen Ein­ga­be­frist (Art. 124 Abs. 1 Bst. d BGG) anhängig gemacht. Der Gesuchsteller hat ein schutzwürdiges Interesse an der Aufhebung oder Änderung des ab­weisenden Beschwerdeurteils vom 4. August 2015 und ist zur Ein­reichung eines darauf bezogenen Revisionsgesuches legitimiert. Auf das Revisionsgesuch ist deshalb einzutreten. Im Folgenden ist zu prüfen, ob dieses auch begründet ist.</w:t>
      </w:r>
    </w:p>
    <w:p>
      <w:r>
        <w:rPr>
          <w:b/>
        </w:rPr>
        <w:t>E. 3.1</w:t>
      </w:r>
    </w:p>
    <w:p>
      <w:r>
        <w:t>Der Gesuchsteller bringt vor, nachträglich entscheidende Tatsachen und Beweismittel im Sinne von Art. 123 Abs. 2 Bst. a BGG vorbringen zu können (vgl. dazu vorstehend Bst. D). Zusammenfassend macht er geltend, aufgrund der nachträglich erfahrenen und durch Beweismittel belegten Sachverhaltsumstände habe sich die Bewertungsgrundlage seiner eigenen Vorbringen entscheidend verändert. Es müsse gestützt auf die neuen Fakten auch bei ihm von einer drohenden Reflexverfolgung im Heimatland ausgegangen werden.</w:t>
      </w:r>
    </w:p>
    <w:p>
      <w:r>
        <w:rPr>
          <w:b/>
        </w:rPr>
        <w:t>E. 4.1</w:t>
      </w:r>
    </w:p>
    <w:p>
      <w:r>
        <w:t>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Ausgeschlossen ist mithin die revisionsrechtliche Geltendmachung von Beweismitteln, welche zeitlich erst nach dem angefochtenen Entscheid entstanden sind (vgl. BVGE 2013/22).</w:t>
      </w:r>
    </w:p>
    <w:p>
      <w:r>
        <w:rPr>
          <w:b/>
        </w:rPr>
        <w:t>E. 4.2</w:t>
      </w:r>
    </w:p>
    <w:p>
      <w:r>
        <w:t>Die vom Gesuchsteller nachgereichte Kopie einer Fahndungsliste datiert vom 20. November 2015 kann im Revisionsverfahren daher nicht berücksichtigt werden (vgl. a.a.O. E. 3.3 ff.).</w:t>
      </w:r>
    </w:p>
    <w:p>
      <w:r>
        <w:rPr>
          <w:b/>
        </w:rPr>
        <w:t>E. 4.3</w:t>
      </w:r>
    </w:p>
    <w:p>
      <w:r>
        <w:t>Zuvor reichte der Gesuchsteller aber zwei Fahndungslisten vom 21. März 2014 ein. Diese haben im Zeitpunkt des Abschlusses des ordentlichen Verfahrens (4. August 2015) bereits bestanden und sind damit revisionsrechtlich relevant.</w:t>
      </w:r>
    </w:p>
    <w:p>
      <w:r>
        <w:rPr>
          <w:b/>
        </w:rPr>
        <w:t>E. 4.4</w:t>
      </w:r>
    </w:p>
    <w:p>
      <w:r>
        <w:t>Gemäss Art. 123 Abs. 2 Bst. a BGG muss es sich bei den im Revisionsbegehren geltend gemachten Beweismitteln um "entscheidende Beweismittel" handeln. Diese Erheblichkeit ist zu bejahen,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ANDRÉ MOSER/MICHAEL BEUSCH/LORENZ KNEUBÜHLER, Prozessieren vor dem Bundesverwaltungsgericht, Handbücher für die Anwaltspraxis, Band X, Basel 2013, Rz. 5.48, S. 307).</w:t>
      </w:r>
    </w:p>
    <w:p>
      <w:r>
        <w:rPr>
          <w:b/>
        </w:rPr>
        <w:t>E. 4.4.1</w:t>
      </w:r>
    </w:p>
    <w:p>
      <w:r>
        <w:t>Prozessgegenstand des früheren - mit dem Urteil vom 4. August 2015 rechtskräftig abgeschlossenen - Verfahrens bildete die Frage, ob dem Gesuchsteller im Heimatstaat eine asylrelevante Verfolgung drohe. Dies wurde verneint, weil es ihm nicht gelungen sei, seine Befürchtungen hinreichend zu substanzieren. Seine Aussage, möglicherweise Opfer einer Reflexverfolgung zu sein, wurde im Beschwerdeurteil als blosse Mutmassung qualifiziert (vgl. E. 5.3.1).</w:t>
      </w:r>
    </w:p>
    <w:p>
      <w:r>
        <w:rPr>
          <w:b/>
        </w:rPr>
        <w:t>E. 4.4.2</w:t>
      </w:r>
    </w:p>
    <w:p>
      <w:r>
        <w:t>Gemäss dem zur Publikation vorgesehenen Urteil E-1866/2015 vom 15. Juli 2016 sind in erster Linie konkret jene Rückkehrenden gefährdet, deren Name in der am Flughafen in Colombo abrufbaren "Stop-List" vermerkt ist. In diese "Stop-List" aufgenommen werden insbesondere Personen, deren Eintrag den Hinweis auf einen Haftbefehl oder eine gerichtliche Anordnung enthält, und wohl auch Personen, wenn gegen sie ein Strafverfahren eröffnet wurde. Gelingt es einer asylsuchenden Person, einen entsprechenden Nachweis zu erbringen, ist von einer begründeten Furcht vor einem ernsthaften Nachteil im Sinne von Art. 3 AsylG auszugehen und ihre Flüchtlingseigenschaft zu bejahen (vgl. insb. E. 8.5.2).</w:t>
      </w:r>
    </w:p>
    <w:p>
      <w:r>
        <w:rPr>
          <w:b/>
        </w:rPr>
        <w:t>E. 4.4.3</w:t>
      </w:r>
    </w:p>
    <w:p>
      <w:r>
        <w:t>Die beiden erwähnten Ausdrucke der Fahndungsliste sind somit im Sinne einer veränderten Tatbestandsermittlung grundsätzlich geeignet, eine entsprechende Gefährdung des Bruders D._______ des Gesuchstellers im Falle seiner Rückkehr als neue Tatsache zu belegen, und führen nicht bloss zu einer Würdigung bereits bekannter Fallumstände, und zwar umso weniger, da er ja bisher eine allfällige Gefährdung wegen der Aktivitäten von B._______ und nicht von D._______ ins Feld führte. Auf den eingereichten Ausdrucken findet sich ein Internetlink (...), der offenbar auf die Homepage (...) führt. Unter (...) kommt man sodann auf die Liste von gesuchten Personen, deren Ausdruck im vorliegenden Verfahren eingereicht wurde und auf der der Bruder D._______ figuriert. Dies weist klar darauf hin, dass der Bruder D._______ tatsächlich im Fokus der Behörden steht. Die Verwandtschaft des Beschwerdeführers zu D._______ ist im ordentlichen Verfahren nicht in Frage gestellt worden. Als naher Angehöriger einer behördlich gesuchten Person könnten ihm mithin ebenfalls relevante Sanktionen drohen. Die im ordentlichen Verfahren gemachte Feststellung, die vagen Vorbringen liessen nicht auf eine drohende Reflexverfolgung schliessen, lässt sich mithin aufgrund des sich verändert darstellenden Sachverhalts in der erwogenen Art nicht mehr aufrechterhalten. Vielmehr sind die erwähnten Beweismittel nach dem Gesagten grundsätzlich geeignet, eine relevante Gefährdung des Gesuchstellers im Heimatstaat im Sinne einer Reflexverfolgung bereits bei der Einreise am Flughafen als neue Tatsache zu untermauern und die im ordentlichen Verfahren angenommene unproblematische Einreise grundsätzlich in Frage zu stellen. Inwieweit die ferner geltend gemachte Behelligung von B._______ im Jahre 2014 und das ihm in E._______ offenbar gewährte Asyl revisionsrechtlich zu beurteilen sind, kann bei dieser Sachlage offen bleiben, da sich die Gefährdung des Gesuchstellers bereits aufgrund der geltend gemachten Situation von D._______ neu darstellt.</w:t>
      </w:r>
    </w:p>
    <w:p>
      <w:r>
        <w:rPr>
          <w:b/>
        </w:rPr>
        <w:t>E. 4.5</w:t>
      </w:r>
    </w:p>
    <w:p>
      <w:r>
        <w:t>Die Revision gestützt auf Art. 123 Abs. 2 Bst. a BGG dient nicht dazu, bisherige Unterlassungen in der Beweisführung wieder gutzumachen (vgl. auch Art. 46 VGG). Die gesuchstellende Person durfte mithin in Bezug auf die im Revisionsverfahren eingereichten Beweismittel nicht in der Lage gewesen sein, diese bereits im ordentlichen Verfahren beizubringen. Der Gesuchsteller macht in diesem Zusammenhang geltend, seit längerer Zeit keinen Kontakt zu D._______ gehabt zu haben. Er habe angenommen, dass dieser verschollen sei. Erst beim Telefonat mit B._______ vom 5. September 2015 habe er von dessen Aktivitäten verbunden mit behördlicher Fichierung erfahren. Es stellt sich demnach die Frage, ob vom Gesuchsteller hätte verlangt werden können, bereits im ordentlichen Verfahren eine (indirekte) Kontaktaufnahme zu D._______ aufzunehmen, um die eigene Situation betreffend allfälliger Gefährdung zu verdeutlichen. Aufgrund der Fallumstände erschien dies aber auch in Berücksichtigung seiner Mitwirkungspflicht nicht als geboten, da er über dessen Schicksal gemäss eigenen Angaben keinerlei Kenntnisse hatte und bei der Anhörung darlegte, seit drei Jahren nichts mehr von ihm gehört zu haben (vgl. A 19/9 Antworten 7 f.). Die neu eingereichten Beweismittel und die neue Tatsache können daher nicht als verspätet geltend gemacht qualifiziert werden.</w:t>
      </w:r>
    </w:p>
    <w:p>
      <w:r>
        <w:rPr>
          <w:b/>
        </w:rPr>
        <w:t>E. 4.6</w:t>
      </w:r>
    </w:p>
    <w:p>
      <w:r>
        <w:t>Zusammenfassend ist daher festzustellen, dass die vom Gesuchsteller am 5. Oktober 2015 im Revisionsverfahren eingereichten Fahndungslisten als revisionsrechtlich erheblich und neu zu erachten sind. Aufgrund dieser Erwägungen ist das Revisionsbegehren gutzuheissen und das Urteil des Bundesverwaltungsgerichts D-7437/2014 vom 4. August 2015 aufzuheben. Das diesbezügliche Beschwerdeverfahren ist wieder aufzunehmen (vgl. Art. 128 Abs. 1 BGG).</w:t>
      </w:r>
    </w:p>
    <w:p>
      <w:r>
        <w:rPr>
          <w:b/>
        </w:rPr>
        <w:t>E. 5.1</w:t>
      </w:r>
    </w:p>
    <w:p>
      <w:r>
        <w:t>Bei diesem Ausgang des Verfahrens sind keine Verfahrenskosten zu erheben (Art. 63 Abs. 1 und Art. 68 Abs. 2 VwVG).</w:t>
      </w:r>
    </w:p>
    <w:p>
      <w:r>
        <w:rPr>
          <w:b/>
        </w:rPr>
        <w:t>E. 5.2</w:t>
      </w:r>
    </w:p>
    <w:p>
      <w:r>
        <w:t>Dem Gesuchsteller ist in Anwendung von Art. 68 Abs. 2 VwVG in Verbindung mit Art. 64 Abs. 1 VwVG eine Parteientschädigung für die notwendigen Vertretungskosten zuzusprechen (vgl. Art. 7 des Reglements vom 21. Februar 2008 über die Kosten und Entschädigungen vor dem Bundesverwaltungsgericht [VGKE, SR 173.320.2]). Der Rechtsvertreter des Gesuchstellers reichte keine Kostennote ein. Auf die Nachforderung einer solchen wird jedoch verzichtet (Art. 14 Abs. 2 VGKE), weil im vorliegenden Verfahren der Aufwand des Schriftenwechsels zuverlässig abgeschätzt werden kann. Gestützt auf die in Betracht zu ziehenden Bemessungsfaktoren (Art. 9 - 13 VGKE) ist die Parteientschädigung auf Fr. 1500.- (inkl. Auslagen und allfällige Mehrwertsteuer) festzusetzen. Diese ist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