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D-6574/2012 vom 26. April 2013</w:t>
      </w:r>
    </w:p>
    <w:p>
      <w:r>
        <w:t>Bundesverwaltungsgericht, 2013-04-26, DE</w:t>
      </w:r>
    </w:p>
    <w:p>
      <w:r>
        <w:rPr>
          <w:b/>
        </w:rPr>
        <w:t xml:space="preserve">Quelle: </w:t>
      </w:r>
      <w:r>
        <w:t>https://mcp.opencaselaw.ch/entscheid/bvger_D-6574_2012</w:t>
      </w:r>
    </w:p>
    <w:p>
      <w:r>
        <w:t>FR: TAF D-6574/2012 du 26 avril 2013</w:t>
      </w:r>
    </w:p>
    <w:p>
      <w:r>
        <w:t>IT: TAF D-6574/2012 del 26 aprile 2013</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sowie Art. 105 AsylG i.V.m. Art. 37 VGG und Art. 48 Abs. 1 und Art. 52 VwVG). Auf die Beschwerde ist somit - im Rahmen der nachfolgenden Erwägun­gen -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2.1</w:t>
      </w:r>
    </w:p>
    <w:p>
      <w:r>
        <w:t>Die Wiedererwägung im Verwaltungsverfahren ist ein Rechtsbehelf. Auf dessen Behandlung durch die verfügende Be­hörde besteht grundsätzlich kein Anspruch.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Demnach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die nachträglich eingetretenen Veränderungen der Sachlage anzupassen ist, ohne dass deren Gegenstand neu beurteilt wird.</w:t>
      </w:r>
    </w:p>
    <w:p>
      <w:r>
        <w:rPr>
          <w:b/>
        </w:rPr>
        <w:t>E. 2.2</w:t>
      </w:r>
    </w:p>
    <w:p>
      <w:r>
        <w:t>Das BFM hat den grundsätzlichen Anspruch des Beschwerdeführers auf Behandlung des "Wiedererwägungsgesuchs" vom 7. Dezember 2012 nicht in Abrede gestellt und die Eingabe zu Recht nicht als zweites Asylge­such entgegengenommen. Zu prüfen ist mithin im vorliegenden Be­schwerdeverfahren, ob das BFM zu Recht davon ausgegangen ist, dass die neuen Vorbringen und Beweismittel die Sachlage nicht derart ver­ändern, als dass sie den Vollzug der Wegweisung undurchführbar ma­chen würden.</w:t>
      </w:r>
    </w:p>
    <w:p>
      <w:r>
        <w:rPr>
          <w:b/>
        </w:rPr>
        <w:t>E. 2.3</w:t>
      </w:r>
    </w:p>
    <w:p>
      <w:r>
        <w:t>Der Beschwerdeführer versucht mit der Geltendmachung einer nachträg­lich erfahrenen Tatsache - dem Wegzug von Angehörigen ins Aus­land - und der Einreichung diesbezüglicher Beweismittel die im vorange­gangenen Asyl- beziehungsweise Beschwerdeverfahren festge­stellte soziale Anbindung vor Ort als nunmehr nicht mehr bestehend erschei­nen zu lassen. Die entsprechenden Beweismittel datieren indes fast ausnahmslos vor dem 7. November 2012 (Abschluss des ordentli­chen Verfahrens) und belegen im Falle ihrer Echtheit Niederlassungen von Angehörigen im Ausland, die grundsätzlich ebenfalls vor diesem Da­tum stattfanden. Die Eingabe vom 7. Dezember 2012 wäre daher an sich formal-juristisch überwiegend als Revisionsgesuch bezüglich des Beschwer­deurteils vom 7. November 2012 zu behandeln gewesen. Da die fachkundige Rechtsvertretung des Beschwerdeführers indes in ihrer an das BFM gerichteten Eingabe explizit um "Wiedererwägung" der Verfü­gung des BFM vom 2. September 2011 im Vollzugspunkt ersuchte und das BFM die Eingabe als "Wiedererwägungsgesuch" anhand genom­men hat, ist das Beschwerdeverfahren unter dem Titel der "Wiedererwä­gung" zu führen (vgl. auch Zwischenverfügung vom 7. Januar 2013). Für die Beurteilung der Frage des Vollzugs der Wegweisung beziehungs­weise der Anordnung der vorläufigen Aufnahme ist praxisgemäss der sich im Urteilszeitpunkt präsentierende Sachverhalt massgebend.</w:t>
      </w:r>
    </w:p>
    <w:p>
      <w:r>
        <w:rPr>
          <w:b/>
        </w:rPr>
        <w:t>E. 3.1</w:t>
      </w:r>
    </w:p>
    <w:p>
      <w:r>
        <w:t>Eine Wiedererwägung fällt dann nicht in Betracht, wenn lediglich eine neue Würdigung der beim früheren Entscheid bereits bekannten Tatsa­chen herbeigeführt werden soll oder Gründe angeführt werden, die be­reits in einem ordentlichen Beschwerdeverfahren gegen die frühere Verfü­gung hätten geltend ge­macht werden können (vgl. Entscheidungen und Mitteilungen der Schweizerischen Asylrekurskommission [EMARK] 2003 Nr. 17 E. 2b S. 104).</w:t>
      </w:r>
    </w:p>
    <w:p>
      <w:r>
        <w:rPr>
          <w:b/>
        </w:rPr>
        <w:t>E. 3.2</w:t>
      </w:r>
    </w:p>
    <w:p>
      <w:r>
        <w:t>Die Mutter und die Schwestern des Beschwerdeführer leben gemäss dessen Angaben seit Juli beziehungsweise Mai 2012 in Indien. Vier Tan­ten seien schon vorher dorthin gezogen. Einem nach Kanada geflohenen Bruder soll 2010 Asyl erteilt worden sein. Die Behauptung in der Eingabe vom 7. Dezember 2012, er habe von diesen neuen Sachverhaltselemen­ten erst Ende November 2012 gewusst, mutet ausgesprochen realitäts­fremd an. Es ist davon auszugehen, dass er schon früher davon Kenntnis hatte, weshalb ihm zuzumuten gewesen wäre, diese neuen Sachverhalts­elemente noch im ordentlichen Verfahren geltend zu machen. Dies umso mehr, als im angefochtenen Entscheid noch von einem engen Beziehungsnetz vor Ort die Rede war.</w:t>
      </w:r>
    </w:p>
    <w:p>
      <w:r>
        <w:rPr>
          <w:b/>
        </w:rPr>
        <w:t>E. 3.3</w:t>
      </w:r>
    </w:p>
    <w:p>
      <w:r>
        <w:t>Unbesehen dieser Sachlage ist mit dem BFM davon auszugehen, dass der Beschwerdeführer nach wie vor soziale Beziehungspunkte vor Ort hat und mit der Unterstützung von Angehörigen aus dem Ausland sich grundsätzlich auch im Herkunftsgebiet wieder eine zumutbare Existenz schaffen kann, zumal er relativ jung und offenbar gesund ist und über Be­rufserfahrung verfügt. Ausserdem weist er darauf hin, die indische Regie­rung habe vor einigen Jahren in G._______ eine Vertretung eingerichtet, um der tamilischen Bevölkerung zu helfen. Tamilische Einwanderer würden von den indischen Behörden auch dann geduldet, wenn ihre Visa abgelau­fen seien, wenn sie sich selbst versorgen könnten und keinen An­lass zu Klagen gäben. Sollte der Beschwerdeführer demnach nicht in G._______ bleiben wollen, wäre eine Übersiedlung zu Angehörigen in Indien auf­grund dieser geltend gemachten Sachlage mutmasslich realistisch. Ins­gesamt ist so nicht ersichtlich, inwiefern er bei Festhalten am Vollzug der Wegweisung in eine existenzbedrohende Lage gerät. Demzufolge kann er unter den gegeben Fallumständen aus BVGE 2011/24 nichts zu sei­nen Gunsten ableiten.</w:t>
      </w:r>
    </w:p>
    <w:p>
      <w:r>
        <w:rPr>
          <w:b/>
        </w:rPr>
        <w:t>E. 4</w:t>
      </w:r>
    </w:p>
    <w:p>
      <w:r>
        <w:t>Der Vollzug der Wegweisung des Beschwerdeführers nach Sri Lanka er­weist sich somit nach wie vor als durchführbar (Art. 83 Abs. 2-4 AuG).</w:t>
      </w:r>
    </w:p>
    <w:p>
      <w:r>
        <w:rPr>
          <w:b/>
        </w:rPr>
        <w:t>E. 5</w:t>
      </w:r>
    </w:p>
    <w:p>
      <w:r>
        <w:t>Aus diesen Erwägungen ergibt sich, dass das BFM zutreffenderweise zur Einschätzung gelangt ist, es seien keine Gründe für eine Wiedererwä­gung seiner Verfügung vom 11. September 2011 im Vollzugspunkt gege­ben. Das BFM hat das "Wiedererwägungsgesuch" des Beschwerdefüh­rers vom 7. Dezember 2012 somit im Ergebnis zu Recht abgelehnt. Die Be­schwerde ist damit abzuweisen.</w:t>
      </w:r>
    </w:p>
    <w:p>
      <w:r>
        <w:rPr>
          <w:b/>
        </w:rPr>
        <w:t>E. 6</w:t>
      </w:r>
    </w:p>
    <w:p>
      <w:r>
        <w:t>Bei diesem Ausgang des Verfahrens sind die Kosten dem Beschwerdefüh­rer aufzuerlegen (Art. 63 Abs. 1 VwVG) und auf insgesamt Fr. 1'200.- festzusetzen (Art. 1 - 3 des Reglements vom 21. Februar 2008 über die Kosten und Entschädigungen vor dem Bundesverwaltungsge­richt [VGKE, SR 173.320.2]). Die Entrichtung der be­antragten Parteientschädigung kommt offensichtlich nicht in Betracht.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