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D-6572/2014 vom 24. November 2014</w:t>
      </w:r>
    </w:p>
    <w:p>
      <w:r>
        <w:t>Bundesverwaltungsgericht, 2014-11-24, DE</w:t>
      </w:r>
    </w:p>
    <w:p>
      <w:r>
        <w:rPr>
          <w:b/>
        </w:rPr>
        <w:t xml:space="preserve">Quelle: </w:t>
      </w:r>
      <w:r>
        <w:t>https://mcp.opencaselaw.ch/entscheid/bvger_D-6572_2014</w:t>
      </w:r>
    </w:p>
    <w:p>
      <w:r>
        <w:t>FR: TAF D-6572/2014 du 24 novembre 2014</w:t>
      </w:r>
    </w:p>
    <w:p>
      <w:r>
        <w:t>IT: TAF D-6572/2014 del 24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 vom sprachlichen Mangel abgesehen - formgerecht eingereichte Beschwerde ist somit einzutreten (Art. 108 Abs. 1 AsylG; Art. 105 AsylG i.V.m. Art. 37 VGG und Art. 52 Abs. 1 VwVG).</w:t>
      </w:r>
    </w:p>
    <w:p>
      <w:r>
        <w:rPr>
          <w:b/>
        </w:rPr>
        <w:t>E. 2</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4.1</w:t>
      </w:r>
    </w:p>
    <w:p>
      <w:r>
        <w:t>Ein Asylgesuch kann gemäss a Art. 19 AsylG im Ausland bei einer schweizerischen Vertretung gestellt werden, die es mit einem Bericht an das Bundesamt überweist (a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(vgl. BVGE 2007/30 E. 5.7).</w:t>
      </w:r>
    </w:p>
    <w:p>
      <w:r>
        <w:rPr>
          <w:b/>
        </w:rPr>
        <w:t>E. 4.2</w:t>
      </w:r>
    </w:p>
    <w:p>
      <w:r>
        <w:t>Der Beschwerdeführer wurde durch die Botschaft nicht zu seinem Asylgesuch befragt. Das BFM begründete den Verzicht auf eine mündliche Befragung in der angefochtenen Verfügung mit dem begrenzten Personalbestand der Botschaft und fehlenden Voraussetzungen im sicherheitstechnischen und räumlichen Bereich. Der Beschwerdeführer legte seine Vorbringen jedoch bereits im Asylgesuch vom 21. März 2011 sowie dessen Zusatz vom 23. Januar 2012 schriftlich dar (vgl. Sachverhalt Bst. A und B). Zudem stellte ihm das BFM mit Zwischenverfügung vom 17. Dezember 2012 zusätzlich einen Katalog von für die vollständige Erstellung des rechtserheblichen Sachverhalts noch zu beantwortenden offenen Fragen zu, wozu er am 20 Januar 2013 schriftlich Stellung nahm (vgl. Sachverhalt Bst. C und D). Damit erhielt er rechtsgenüglich Gelegenheit, seine Asylgründe darzulegen und bei der Erhebung und Ergänzung des massgeblichen Sachverhalts mitzuwirken.</w:t>
      </w:r>
    </w:p>
    <w:p>
      <w:r>
        <w:rPr>
          <w:b/>
        </w:rPr>
        <w:t>E. 5.1</w:t>
      </w:r>
    </w:p>
    <w:p>
      <w:r>
        <w:t>Das Bundesamt kann ein im Ausland gestelltes Asylgesuch ablehnen, wenn die asylsuchende Person keine Verfolgung glaubhaft machen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6.1</w:t>
      </w:r>
    </w:p>
    <w:p>
      <w:r>
        <w:t>Nach Durchsicht der Akten schliesst sich das Bundesverwaltungsgericht der Einschätzung der Vorinstanz an, wonach eine in asylrechtlicher Hinsicht relevante Verfolgung des Beschwerdeführers im Zeitpunkt seiner Ausreise aus Äthiopien nicht glaubhaft ist. Zwar kann nicht ausgeschlossen werden, dass er sich im Jahr 2005 politisch für die Belange der Oromo verwendet haben könnte. Seine Angaben sind indessen sowohl in Bezug auf die Umstände seiner Flucht sowie des Zeitpunkts seiner effektiven Ausreise aus Äthiopien derart widersprüchlich ausgefallen, dass nicht glaubhaft erscheint, dass er aufgrund seines politischen Engagements in Äthiopien einer staatlichen Verfolgung ausgesetzt war: So gab er in seinem Gesuch vom 21. März 2011 an, er sei am 25. Mai 2005 in den Sudan geflüchtet, weil die äthiopische Regierung versucht habe, Mitglieder der oppositionellen "OFDIN"-Partei festzunehmen. Anlässlich seiner späteren Eingaben vom 23. Januar 2012 und vom 20. Januar 2013 behauptete er demgegenüber, er sei als Mitglied der "OFDIN"-Partei am 25. Mai 2005 inhaftiert worden, später aus dem Gefängnis geflohen und schliesslich am 15. Juni 2005 in den Sudan gelangt. Bezeichnenderweise unternahm der Beschwerdeführer in seiner Beschwerde nicht einmal den Versuch, die unterschiedliche Darstellung der seiner Ausreise aus Äthiopien vorangehenden Umstände plausibel zu machen, sondern wiederholte einfach in genereller Weise seine frühere Aussage, er sei in seiner Heimat verfolgt gewesen.</w:t>
      </w:r>
    </w:p>
    <w:p>
      <w:r>
        <w:rPr>
          <w:b/>
        </w:rPr>
        <w:t>E. 6.2</w:t>
      </w:r>
    </w:p>
    <w:p>
      <w:r>
        <w:t>Soweit er zusätzlich behauptet, er fürchte eine Deportation nach Äthiopien, bleibt anzumerken, dass bereits zufolge fehlender Hinweise auf eine Vorverfolgung im Heimatland nicht ersichtlich ist, weshalb die äthiopischen Behörden an seiner Person in irgendeiner Weise interessiert sein sollten, zumal er zusätzlich verneint hat, im Sudan politisch aktiv zu sein (vgl. Stellungnahme vom 20. Januar S. 4, Ziff. 7).</w:t>
      </w:r>
    </w:p>
    <w:p>
      <w:r>
        <w:rPr>
          <w:b/>
        </w:rPr>
        <w:t>E. 6.3</w:t>
      </w:r>
    </w:p>
    <w:p>
      <w:r>
        <w:t>Zusammenfassend ist deshalb festzustellen, dass es dem Beschwerdeführer nicht gelungen ist, eine Verfolgung im Sinne von Art. 3 AsylG glaubhaft zu machen. Damit kann die Frage der Zumutbarkeit eines Verbleibs des Beschwerdeführers im Drittstaat Sudan im Sinne von aArt. 52 Abs. 2 AsylG offenbleiben, setzt diese doch das Bestehen der Flüchtlingseigenschaft begriffsnotwendig voraus.</w:t>
      </w:r>
    </w:p>
    <w:p>
      <w:r>
        <w:rPr>
          <w:b/>
        </w:rPr>
        <w:t>E. 6.4</w:t>
      </w:r>
    </w:p>
    <w:p>
      <w:r>
        <w:t>Aus dem Gesagten folgt, dass das BFM dem Beschwerdeführer zu Recht die Einreise in die Schweiz verweigert und sein Asylgesuch abgelehnt hat.</w:t>
      </w:r>
    </w:p>
    <w:p>
      <w:r>
        <w:rPr>
          <w:b/>
        </w:rPr>
        <w:t>E. 7</w:t>
      </w:r>
    </w:p>
    <w:p>
      <w:r>
        <w:t>Aus diesen Erwägungen ergibt sich, dass die angefochtene Verfügung Bundesrecht nicht verletzt und den rechtserheblichen Sachverhalt richtig sowie vollständig feststellt (Art. 106 Abs. 1 AsylG). Die Beschwerde ist demnach abzuweisen.</w:t>
      </w:r>
    </w:p>
    <w:p>
      <w:r>
        <w:rPr>
          <w:b/>
        </w:rPr>
        <w:t>E. 8</w:t>
      </w:r>
    </w:p>
    <w:p>
      <w:r>
        <w:t>Bei diesem Ausgang des Verfahrens wären dessen Kosten grundsätzlich dem Beschwerdeführer aufzuerlegen (Art. 63 Abs. 1 VwVG). Indessen ist vorliegend aus verwaltungsökonomischen Gründen sowie in Anwendung von Art. 63 Abs. 1 in fine VwVG und Art. 6 Abs. 1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