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D-656/2010 vom 22. März 2012</w:t>
      </w:r>
    </w:p>
    <w:p>
      <w:r>
        <w:t>Bundesverwaltungsgericht, 2012-03-22, DE</w:t>
      </w:r>
    </w:p>
    <w:p>
      <w:r>
        <w:rPr>
          <w:b/>
        </w:rPr>
        <w:t xml:space="preserve">Quelle: </w:t>
      </w:r>
      <w:r>
        <w:t>https://mcp.opencaselaw.ch/entscheid/bvger_D-656_2010</w:t>
      </w:r>
    </w:p>
    <w:p>
      <w:r>
        <w:t>FR: TAF D-656/2010 du 22 mars 2012</w:t>
      </w:r>
    </w:p>
    <w:p>
      <w:r>
        <w:t>IT: TAF D-656/2010 del 22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Vorab ist festzuhalten, dass im Rahmen des ersten Asylverfahrens die Beschwerde gegen den Entscheid des BFM vom 21. Juli 2003 betreffend Flüchtlingseigenschaft zurückgezogen wurde, womit die Beurteilung des Bundesamtes, wonach die Vorfluchtgründe des Beschwerdeführers nicht glaubhaft im Sinne von Art. 7 AsylG sind, in Rechtskraft erwuchs. Es ist daher dem Beschwerdeführer nicht gelungen, ein vor der Ausreise be­stehendes politisches Engagement in Jemen (Aktivismus zugunsten der E._______) sowie eine daraus re­sul­tie­ren­de Verfolgung durch die jemenitischen Behörden glaubhaft zu machen. Es kann deshalb ausge­schlossen werden, dass er vor dem Verlassen sei­nes Heimatlandes als regimefeindliche Person ins Blick­feld der jemenitischen Behörden oder Nachrichtendienste geraten ist. Im vorliegenden zweiten Asylverfahren sind die im ersten Verfahren vorgebrachten Asylgründe des Beschwerdeführers daher grundsätzlich nicht mehr zu überprüfen, zumal diesbezüglich keine neuen Tatsachen oder Beweismittel vorgebracht wurden. Der in der Beschwerde gestellte Eventualantrag um Gewährung von Asyl zufolge Vorfluchtgründe ist daher abzuweisen.</w:t>
      </w:r>
    </w:p>
    <w:p>
      <w:r>
        <w:rPr>
          <w:b/>
        </w:rPr>
        <w:t>E. 3</w:t>
      </w:r>
    </w:p>
    <w:p>
      <w:r>
        <w:t>Im Folgenden bleibt zu prüfen, ob seit Abschluss des ersten Asylverfahrens Asylgründe entstanden sind, welche die Flüchtlingseigenschaft zu begründen vermögen.</w:t>
      </w:r>
    </w:p>
    <w:p>
      <w:r>
        <w:rPr>
          <w:b/>
        </w:rPr>
        <w:t>E. 3.1</w:t>
      </w:r>
    </w:p>
    <w:p>
      <w:r>
        <w:t>Anzumerken ist in diesem Zusammenhang, dass Subjektive Nachfluchtgründe gemäss Praxis dann anzunehmen sind,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3.2.1</w:t>
      </w:r>
    </w:p>
    <w:p>
      <w:r>
        <w:t>Der Beschwerdeführer macht geltend, aufgrund seiner exilpolitischen Aktivitäten in der Schweiz bei einer Rückkehr nach Jemen einer flüchtlingsrelevanten Verfolgung durch die jemenitischen Behörden ausgesetzt zu sein. Er begründet seine Gefährdung damit, als Mitglied der F._______ Schweiz an zahlreichen durch Fotos und Internetartikel dokumentierten Kundgebungen teilgenommen zu haben, mehrere regimefeindliche Artikel - teils mit vollem Namen und Foto - auf den einschlägigen Seiten im Internet veröffentlicht zu haben und [Funktion innerhalb der F._______ innezuhaben], was ebenfalls im Internet publiziert worden sei.</w:t>
      </w:r>
    </w:p>
    <w:p>
      <w:r>
        <w:rPr>
          <w:b/>
        </w:rPr>
        <w:t>E. 3.2.2</w:t>
      </w:r>
    </w:p>
    <w:p>
      <w:r>
        <w:t>Das BFM stellte sich in der angefochtenen Verfügung auf den Standpunkt, dass der jemenitische Staat Oppositionelle im Exil zwar beobachte, jedoch davon ausgegangen werde, dass ein Interesse nur an Personen bestehe, deren Aktivitäten als konkrete Bedrohung für das politische System wahrgenommen würden. Da der Beschwerdeführer über kein herausragendes exilpolitisches Profil verfüge, die eingereichten Beweismittel keinen Rückschluss auf seine Identität erlauben würden und es keinerlei Anhaltspunkte dafür gebe, dass der Beschwerdeführer von den jemenitischen Behörden erkannt oder gar als Bedrohung für das politische System wahrgenommen worden sei, sei eine konkrete Gefährdung bei einer Rückkehr auszuschliessen. Er erfülle daher die Flüchtlingseigenschaft gemäss Art. 3 AsylG nicht.</w:t>
      </w:r>
    </w:p>
    <w:p>
      <w:r>
        <w:rPr>
          <w:b/>
        </w:rPr>
        <w:t>E. 3.2.3</w:t>
      </w:r>
    </w:p>
    <w:p>
      <w:r>
        <w:t>Der Beschwerdeführer entgegnete dem in seiner Rechtsmitteleingabe, mindestens ein von ihm verfasster Artikel sei im Internet mit Namen und Foto veröffentlicht worden, weshalb er als Aktivist der F._______ sehr wohl identifizierbar sei. Angesichts des grossen Interesses der jemenitischen Behörden an der Überwachung exilpolitisch tätiger oppositioneller Organi­sationen - wie die F._______ -, sei davon auszugehen, sie hätten den Beschwerdeführer als Regimegegner wahrgenommen. Dies sei umso wahrscheinlicher, als er bereits vor seiner Ausreise aus Jemen aufgrund seiner politischen Haltung verfolgt worden sei. Da er auch über keine innerstaatliche Fluchtalternative verfüge, sei ihm die Flüchtlingseigenschaft zuzuerkennen.</w:t>
      </w:r>
    </w:p>
    <w:p>
      <w:r>
        <w:rPr>
          <w:b/>
        </w:rPr>
        <w:t>E. 3.2.4.1</w:t>
      </w:r>
    </w:p>
    <w:p>
      <w:r>
        <w:t>Bezüglich der Gefährdung von Personen, welche sich für die Unabhängigkeit Südjemens einsetzen, ist aktuell folgende Situation festzustellen: Gemäss Human Rights Watch sind Aktivisten des Southern Mobility Movements (SMM; "Hiraak al-Janoubi") - einer Dachorganisation verschiedener sezessionistisch oder autonomistisch orientierter Gruppierungen Südjemens, welcher auch die F._______ angehört - von den jemenitischen Sicherheitskräften im letzten Jahr zwar gezielt verfolgt worden (vgl. Human Rights Watch, World Report 2012: Yemen, Januar 2012, &lt;www.hrw.org/world-report-2012/world-report-2012-yemen&gt;, abgerufen am 12. März 2012; siehe auch: Jamestown Foundation, Filling the Void: The Southern Mobility Movement in South Yemen, 25. April 2011, &lt;www.unhcr.org/refworld/docid/4db7b7362.html&gt;, abgerufen am 12. März 2012). Dies erfolgte jedoch insbesondere im Rahmen der Protestbewegungen gegen das Saleh-Regime im Februar 2011. Dutzende Mitglieder der SMM wurden kurzzeitig verhaftet, acht Personen verblieben länger in Haft. Am längsten in Haft blieben Hassan Baoum, ein Führungsmitglied des SMM und dessen Sohn. Auch sie wurden jedoch am 8. Dezember 2011 auf freien Fuss gesetzt, nur Stunden nach Bildung der Übergangsre­gierung (vgl. Agence France Presse [AFP], Yemen releases southern opposition leader, 7. Dezember 2011). Gemäss Kenntnissen der Schweizer Botschaft in Riad unterliegen Befürworter eines unabhängigen Südens sodann nicht generell einer Verfolgungsgefahr. Es ist weiter davon auszugehen, dass sich das politische Klima seit dem Umsturz im jemenitischen Machtgefüge im Zusammenhang mit dem sogenannten "arabischen Frühling" verändert hat. Das jemenitische Volk hat sich am 21. Februar 2012 an der Urne gemäss Kenntnissen der Schweizer Botschaft in Riad für die Absetzung Ali Abdullah Salehs und für eine zweijährige Übergangsphase unter dem bisherigen stellvertretenden Staatspräsidenten mit einer Regierung bestehend aus 50% früheren Regierungsvertretern und 50% Oppositionsvertretern ausgesprochen (vgl. auch The New York Times, 12. März 2012, &lt;http://topics.nytimes.com/top/news/international/countriesandterritories/yemen/index.html&gt;, abgerufen am 12. März 2012). Obwohl in dieser Zusammensetzung bis anhin keine Vertreter des SMM vorgesehen sind und die Wahlen im Süden teilweise boykottiert wurden, ist eine politische Umstrukturierung im Gange, in welcher sich ein beidseitiges Interesse am Dialog abzuzeichnen scheint (vgl. beispielsweise Yemen Fox, 8. März 2012, &lt;www.yemenfox.net/news_details.php?sid=2317&gt;, abgerufen am 12. März 2012). Überdies ist die Kontrolle der Zentralregierung im Süden gemäss Schweizer Botschaft in Riad aktuell schwach.</w:t>
      </w:r>
    </w:p>
    <w:p>
      <w:r>
        <w:rPr>
          <w:b/>
        </w:rPr>
        <w:t>E. 3.2.4.2</w:t>
      </w:r>
    </w:p>
    <w:p>
      <w:r>
        <w:t>Bezüglich der Gefährdung exilpolitisch aktiver Personen aus Jemen ist festzuhalten, dass das Bundesverwaltungsgericht davon ausgeht, dass die jementische Diaspora durch die jemenitischen Behörden überwacht wird (vgl. das in der vorinstanzlichen Verfügung und in der Beschwerde aufgerufene Urteil des Bundesverwaltungsgerichts D 5395/2006 vom 12. Juni 2009). Indes ist angesichts der politischen Umstrukturierung und der schwachen Kontrolle der Zentralregierung fraglich, inwieweit diese aktuell gewillt beziehungsweise in der Lage ist, exilpolitische Aktivitäten zu überwachen. Abgesehen davon reicht der Umstand, wonach die jemenitischen Behörden im Ausland politisierende Per­sonen überwacht, für sich allein genommen nicht aus, eine begründete Verfolgungsfurcht zu konstituieren. Vielmehr müssen zusätzlich konkrete Anhaltspunkte - nicht lediglich abstrakte oder rein theoretische Möglichkeiten - dafür vorliegen, dass der Beschwerdeführer tatsächlich das Interesse der jemenitischen Behörden auf sich gezogen respektive als regimefeindliches Element namentlich registriert wurde.</w:t>
      </w:r>
    </w:p>
    <w:p>
      <w:r>
        <w:rPr>
          <w:b/>
        </w:rPr>
        <w:t>E. 3.2.4.3</w:t>
      </w:r>
    </w:p>
    <w:p>
      <w:r>
        <w:t>Wie für das BFM liegen auch für das Bundesverwaltungsgericht vorliegend keine Gründe vor, am exilpolitischen Engagement des Beschwerdeführers zu zweifeln, zumal dieses umfassend dokumentiert ist. Es ist deshalb als erstellt zu erachten, dass der Beschwerdeführer Mitglied des F._______ ist, an verschiedenen Kundgebungen dieser Organisation teilgenommen hat, seit (...) [Funktion] ist und in den Jahren (...) mehrere regimekritische Artikel verfasst und im Internet publiziert hat. Indes ist vorab festzuhalten, dass gewisse Zweifel an der Ernsthaftigkeit des politischen Engagements des Beschwerdeführers bestehen. So fällt auf, dass der Beginn seiner politischen Aktivitäten in der Schweiz - der Beitritt zur F._______ Schweiz - just auf einen Zeitpunkt fällt, an dem die Abweisung seines ersten Asylgesuchs durch Urteil des Bundesverwaltungsgerichts rechtskräftig wurde. Ferner dient sein exilpolitisches Engagement in Anbetracht seines Verhaltens, wonach er im Internet verschiedene regimefeindlich Artikel unter vollem Namen und mit Foto veröffentlichte, offensichtlich der Konstruktion der Flüchtlingseigenschaft. So führte er selbst im Rahmen der direkten Anhörung aus, in Jemen drohe Festnahme, Folter oder gar der Tod für den Fall solcher Veröffentlichungen in eigenem Namen (vgl. B10 F67 S. 9). Seine Erklärung, wonach er kein Feigling sei und nicht einsehe, weshalb er in einem Land, in dem Gesetz und Meinungsfreiheit zu respektieren seien, ein Pseudonym verwenden sollte, vermag nicht zu überzeugen, zumal diese Aussage das Beifügen eines Fotos nicht erklärt. Wenig später führte er zudem bezüglich seiner Religion aus, er wolle seine Konversion zum Christentum nicht publik machen, da dies in Jemen mit der Todesstrafe bedroht sei (vgl. B10 F69 S. 9). Der Vollständigkeit halber ist darauf hinzuweisen, dass nach wie vor keine Pa­piere vorliegen, welche die Identität des Beschwerdeführers belegen. Abgesehen davon kommt das Bundesverwaltungsgericht in Übereinstim­mung mit der Vorinstanz zum Schluss, dass der Beschwerdeführer vorlie­gend keinen Bekanntheitsgrad erreicht, bei dem angenommen werden müsste, dass die jemenitischen Behörden auf ihn aufmerksam geworden seien und ihn als Gefährdung betrachten könnten. Wie oben erwähnt (vgl. E. 2.2), ist eine Registrierung des Beschwerdeführers als regimefeindliche Person vor der Ausreise auszuschliessen. Seine Aktivität nach der Ausreise beschränkt sich auf ein Ausmass, bei welchem kein Anlass zur Annahme besteht, dass er in den Fokus der jemenitischen Behörden geraten wäre. Obwohl die Organisationsstruktur und die Führung des SMM nebulös sind (vgl. a.a.O. Filling the Void), ist davon auszugehen, dass es sich dabei um eine namhafte Organisation mit einer beträchtlichen Anzahl Aktivisten handelt. [...] Ferner erfolgten bisherige Verhaftungen von Verfechtern eines unabhängigen Südens im Jemen insbesondere im Zusammenhang mit Kundgebungen gegen das Saleh-Regime, wobei alle betroffenen Personen mittlerweile freigelassen worden sind. Auch wenn das Engagement des Beschwerdeführers für die F._______ aus dem Internet er­sichtlich wird und er entgegen der Einschätzung der Vorinstanz für die je­menitischen Behörden identifizierbar ist, ist es überwiegend unwahrscheinlich, dass diese von seinen Aktivitäten Kenntnis genommen und ihn als regimefeindliche Person registriert haben. Abgesehen davon, dass aufgrund der aktuellen politischen Umstände in Jemen grundsätzlich fraglich ist, inwieweit seitens der jemenitischen Behörden aktuell ein Interesse an der Überwachung exilpolitisch tätiger Personen besteht und in Zukunft bestehen wird, verfügt der Beschwerdeführer trotz seiner Funktion als [...] der F._______ Schweiz über kein derart herausragendes politisches Profil, das ihn unter den gegebenen Bedingungen als staatsgefährdend qualifizieren könnte. Insgesamt besteht daher keine überwiegende Wahrscheinlichkeit, dass seitens der jemenitischen Behörden aufgrund seiner exilpolitischen Tätigkeiten aktuell ein Verfolgungsinteresse am Beschwerdeführer besteht.</w:t>
      </w:r>
    </w:p>
    <w:p>
      <w:r>
        <w:rPr>
          <w:b/>
        </w:rPr>
        <w:t>E. 3.3</w:t>
      </w:r>
    </w:p>
    <w:p>
      <w:r>
        <w:t>In Bezug auf die geltend gemachte - im Übrigen nicht belegte - Konversion des Beschwerdeführers zum Christentum im Jahr (...) ist festzuhalten, dass das BFM darauf in der angefochtenen Verfügung nicht einging und der Beschwerdeführer darauf verzichtete, die vorinstanzliche Verfügung diesbezüglich zu beanstanden. Überdies besteht vorliegend kein Anlass zu Annahme, die heimatstaatlichen Behörden hätten davon Kenntnis erlangt, gibt der Beschwerdeführer doch an, er habe seine Konversion in Anbetracht der drohenden Todesstrafe im Heimatstaat geheim gehalten (vgl. B10 F69 S. 9). Von einer konkreten Gefahr, dass der Beschwerdeführer den jemenitischen Behörden aufgrund seiner Konversion zum Christentum bekannt wäre und ihnen dies zu Verfolgungshandlungen Anlass geben würde, ist daher nicht auszugehen.</w:t>
      </w:r>
    </w:p>
    <w:p>
      <w:r>
        <w:rPr>
          <w:b/>
        </w:rPr>
        <w:t>E. 3.4</w:t>
      </w:r>
    </w:p>
    <w:p>
      <w:r>
        <w:t>Schliesslich bringen die Beschwerdeführenden im Rahmen ihres zweitens Asylgesuchs vor, unabhängig von ihrer politischen Betätigung bereits aufgrund der objektiv veränderten Situation in Jemen gefährdet zu sein, weshalb objektive Nachfluchtgründe vorlägen, welche die Flüchtlingseigenschaft begründen würden.</w:t>
      </w:r>
    </w:p>
    <w:p>
      <w:r>
        <w:rPr>
          <w:b/>
        </w:rPr>
        <w:t>E. 3.4.1</w:t>
      </w:r>
    </w:p>
    <w:p>
      <w:r>
        <w:t>Für die Beurteilung der Flüchtlingseigenschaft nach Art. 3 AsylG ist nicht die Situation im Zeitpunkt der Ausreise, sondern die Situation im Zeitpunkt des Asylentscheides massgeblich. Veränderungen der objektiven Situation im Heimatstaat zwischen Ausreise und Asylentscheid sind - wie subjektive Nachtfluchtgründe - zu Gunsten und zu Lasten der asylsu­chenden Person zu berücksichtigen (BVGE 2008/4 E. 5.4 und BVGE 2008/12 E. 5.2 je mit weiteren Hinweisen). Solchermassen objektive Nachfluchtgründe liegen vor, wenn äussere Umstände, auf welche die asylsuchende Person keinen Einfluss nehmen konnte, zur drohenden Verfolgung führen; der von einer Verfolgung bedrohten Person ist in solchen Fällen die Flüchtlingseigenschaft zuzuerkennen und - im Gegensatz zu Personen mit subjektiven Nachfluchtgründen - Asyl zu gewähren. In casu stellt sich die Frage, ob seit der Ausreise der Beschwerdeführenden aus Jemen im Jahre 2001 objektive, von ihnen nicht beeinflussbare Umstände und Ereignisse eingetreten sind, welche ihre erklärte Furcht vor Verfolgung heute als begründet und mithin flüchtlingsrechtlich erheblich erscheinen lassen.</w:t>
      </w:r>
    </w:p>
    <w:p>
      <w:r>
        <w:rPr>
          <w:b/>
        </w:rPr>
        <w:t>E. 3.4.2</w:t>
      </w:r>
    </w:p>
    <w:p>
      <w:r>
        <w:t>Dazu ist festzuhalten, dass vorliegend nicht ersichtlich ist, inwiefern die veränderte Situation in Jemen zu einer flüchtlingsrechtlich relevanten Verfolgung der Beschwerdeführenden führen sollte. Allein der pauschale Verweis auf die Lage in Jemen genügt dabei nicht, eine Gefährdung glaubhaft zu machen. Aus objektiver Sicht liegen indes keine Hinweise vor, dass die Beschwerdeführenden in Jemen aufgrund der veränderten Situation konkret gesucht würden. Daneben ist darauf hinzuweisen, dass das zweite Asylgesuch vom 2. September 2009 datiert und die darin vorgebrachten Repressionswellen in Anbetracht der jüngsten Umstürze als nicht mehr aktuell erscheinen. Es liegen demnach auch keine objektiven Nachfluchtgründe vor, welche die Flüchtlingseigenschaft der Beschwerdeführenden zu begründen vermöchten.</w:t>
      </w:r>
    </w:p>
    <w:p>
      <w:r>
        <w:rPr>
          <w:b/>
        </w:rPr>
        <w:t>E. 3.5</w:t>
      </w:r>
    </w:p>
    <w:p>
      <w:r>
        <w:t>Zusammenfassend ergibt sich, dass vorliegend keine Nach­flucht­gründe bestehen, die zur Zuerkennung der Flüchtlingseigenschaft hätten führen können. An die­ser Einschät­zung vermögen weder die weiteren Ausführungen in der Ein­gabe noch die beigelegten Beweismittel etwas zu ändern. Unter Berücksichtigung der gesamten Umstände folgt, dass die Be­schwerdeführenden keine Gründe nach Art. 3 AsylG nachweisen oder glaub­haft machen konnten. Die Vorinstanz hat die Flüchtlingseigen­schaft dem­nach zu Recht verneint und die zweiten Asylgesuche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w:t>
      </w:r>
    </w:p>
    <w:p>
      <w:r>
        <w:rPr>
          <w:b/>
        </w:rPr>
        <w:t>E. 5.1</w:t>
      </w:r>
    </w:p>
    <w:p>
      <w:r>
        <w:t>Ist der Vollzug nicht zulässig, nicht zumutbar oder nicht möglich, regelt das Bundesamt das Anwesenheitsverhältnis nach den gesetzlichen Bestimmungen über die vorläufige Aufnahme von Ausländern (Art. 44 Abs. 2 AsylG),</w:t>
      </w:r>
    </w:p>
    <w:p>
      <w:r>
        <w:rPr>
          <w:b/>
        </w:rPr>
        <w:t>E. 5.2</w:t>
      </w:r>
    </w:p>
    <w:p>
      <w:r>
        <w:t>Die Beschwerdeführenden wurden mit Verfügung des Bundesamtes vom 17. Juni 2008 wegen Unzumutbarkeit des Wegweisungs­vollzugs in der Schweiz vorläufig aufgenommen. Die vorläufige Aufnahme wurde mit der vorliegend angefochtenen Verfügung vom 31. Dezember 2009 bestätigt, weshalb sich eine (er­neute) Prüfung der Voraussetzungen des Wegweisungsvollzugs erübrigt.</w:t>
      </w:r>
    </w:p>
    <w:p>
      <w:r>
        <w:rPr>
          <w:b/>
        </w:rPr>
        <w:t>E. 5.3</w:t>
      </w:r>
    </w:p>
    <w:p>
      <w:r>
        <w:t>Damit entfällt auch die Prüfung, ob die im Rahmen des vorinstanzlichen Verfahrens angetönten gesundheitlichen Probleme des Beschwerdeführers allenfalls einem Wegweisungsvollzug entgegenstehen würden.</w:t>
      </w:r>
    </w:p>
    <w:p>
      <w:r>
        <w:rPr>
          <w:b/>
        </w:rPr>
        <w:t>E. 6</w:t>
      </w:r>
    </w:p>
    <w:p>
      <w:r>
        <w:t>Somit wurde die vorinstanzliche Verfügung zu Recht getroffen und das BFM war mithin befugt, eine Gebühr zu erheben (vgl. Art. 17b Abs. 4 AsylG), weshalb der entsprechende Antrag abzuweisen ist.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den Beschwerdeführenden aufzuerlegen (Art. 63 Abs. 1 VwVG) , nachdem jedoch mit Verfügung vom 18. Februar 2010 die unentgeltliche Rechtspflege im Sinne von Art. 65 Abs. 1 VwVG gewährt worden ist, ist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