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D-6567/2010 vom 6. August 2012</w:t>
      </w:r>
    </w:p>
    <w:p>
      <w:r>
        <w:t>Bundesverwaltungsgericht, 2012-08-06, DE</w:t>
      </w:r>
    </w:p>
    <w:p>
      <w:r>
        <w:rPr>
          <w:b/>
        </w:rPr>
        <w:t xml:space="preserve">Quelle: </w:t>
      </w:r>
      <w:r>
        <w:t>https://mcp.opencaselaw.ch/entscheid/bvger_D-6567_2010</w:t>
      </w:r>
    </w:p>
    <w:p>
      <w:r>
        <w:t>FR: TAF D-6567/2010 du 6 août 2012</w:t>
      </w:r>
    </w:p>
    <w:p>
      <w:r>
        <w:t>IT: TAF D-6567/2010 del 6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Der Beschwerdeführer ist legitimiert; auf seine frist- und formgerecht eingereichte Beschwerde ist einzutreten (Art. 105 und 108 Abs. 1 AsylG; Art. 37 VGG i.V.m. Art. 48 Abs. 1 und Art. 52 VwVG).</w:t>
      </w:r>
    </w:p>
    <w:p>
      <w:r>
        <w:rPr>
          <w:b/>
        </w:rPr>
        <w:t>E. 2.2</w:t>
      </w:r>
    </w:p>
    <w:p>
      <w:r>
        <w:t>Mit Verfügung vom 23. Mai 2012 hat die Vorinstanz ihren Entscheid vom 19. August 2010 teilweise in Wiedererwägung gezogen und den Beschwer­deführer wegen Unzumutbarkeit des Wegweisungsvollzugs vorläufig aufgenommen. Das vorliegende Beschwerdeverfahren beschränkt sich somit nunmehr auf die Frage der Asylgewährung beziehungsweise der Flüchtlingseigenschaft und der Anordnung der Wegweisung.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im Wesentlichen mit der Begründung ab, der Beschwerdeführer habe keine asylrechtlich relevante Verfolgung glaubhaft machen können. Wie sich erweist, ist das Bundesamt im Ergebnis zutreffenderweise zu diesem Schluss gelangt.</w:t>
      </w:r>
    </w:p>
    <w:p>
      <w:r>
        <w:rPr>
          <w:b/>
        </w:rPr>
        <w:t>E. 4.2</w:t>
      </w:r>
    </w:p>
    <w:p>
      <w:r>
        <w:t>Angesichts der Abklärungsergebnisse der schweizerischen Botschaft in Syrien, wonach der Beschwerdeführer bereits am [...] 2004 legal aus Syrien nach Libanon ausgereist sei, stellt sich die Frage, ob er sich überhaupt im Zeitraum vor der von ihm geltend gemachten Ausreise aus Syrien am 4. März 2010 in seinem Heimatstaat aufhielt. Der Beschwerdeführer selbst macht in Bezug auf die Resultate der Botschaftsabklärungen beschwerdeweise verschiedene Mängel geltend, wobei er unter anderem darauf hinweist, dass er offensichtlich fälschlicherweise in den Registern der syrischen Migrationsbehörde als weibliche Person aufgeführt sein solle. Indessen erübrigt es sich, auf die Frage der Qualität der von der schweizerischen Botschaft in Syrien durchgeführten Abklärungen näher einzugehen, da wie die nachfolgenden Ausführungen zeigen die hauptsächlichen Vorbringen des Beschwerdeführers ohnehin asylrechtlich nicht relevant sind und dem fraglichen Botschaftsbericht somit keine entscheidwesentliche Bedeutung zukommt.</w:t>
      </w:r>
    </w:p>
    <w:p>
      <w:r>
        <w:rPr>
          <w:b/>
        </w:rPr>
        <w:t>E. 4.3</w:t>
      </w:r>
    </w:p>
    <w:p>
      <w:r>
        <w:t>Selbst wenn die Aussagen des Beschwerdeführers zutreffend sein sollten, ist festzustellen, dass die geschilderten Probleme mit den syrischen Sicherheitsbehörden, die sich auf eine einmalige Festnahme während vier Tagen im Zusammenhang mit der Teilnahme des Beschwerdeführers an den Newroz-Feierlichkeiten des Jahres 2009 sowie die Suche nach seiner Person nach der Teilnahme an einer Demonstration zugunsten Abdullah Öcalans, des inhaftierten türkischen Anführers der PKK (Partiya Karkerên Kurdistan; Arbeiterpartei Kurdistans), im Februar 2010 beschränkten, nicht die Intensität ernsthafter Nachteile im Sinne des Art. 3 AsylG aufwiesen. Bei dieser Einschätzung ist zu berücksichtigen, dass der Beschwerdeführer gemäss eigenen Aussagen abgesehen von der gelegentlichen Teilnahme an Kundgebungen, an welchen jeweils eine grosse Zahl von Demonstrierenden anwesend war, (soweit den Zeitraum vor seiner Ausreise aus Syrien betreffend) keinerlei nennenswerte politische Aktivitäten ausübte. So gab er anlässlich der durchgeführten Anhörungen an, er habe nie an Sitzungen der von ihm als blosser Sympathisant unterstützten Partei teilgenommen, ja habe nicht einmal Kontakt zu Parteimitgliedern gehabt (Protokoll der eingehenden Anhörung, S. 5). Er habe lediglich hie und da Geld gespendet und als Gegenleistung eine kurdische Agenda entgegengenommen. Anzumerken ist weiter, dass er nicht einmal den kurdischen Namen der von ihm unterstützten Partei (Partiya Yekitîya Demokrat; Demokratische Einheitspartei es handelt sich dabei um die wichtigste kurdische Partei Syriens) anzugeben vermochte, sondern selbst auf entsprechende Nachfrage hin lediglich deren arabische Bezeichnung wusste ("Hizb al-Ittihad ad-Dimuqrati"; Angabe bei der summarischen Befragung, S. 5) beziehungsweise bei der Benennung kurdische und arabische Wörter vermischte ("Partya Ittihad Democrati"; Angabe bei der eingehenden Anhörung, S. 4). Auf entsprechende Fragen hin vermochte er ausserdem weder zu den politischen Zielen dieser Partei noch zu deren Tätigkeit konkrete, über allgemeinste Angaben hinausgehende Aussagen zu machen. Es ist somit als offensichtlich zu bezeichnen, dass der Beschwerdeführer zu dieser Partei zum damaligen Zeitpunkt keine spezifische Verbindung aufwies. Nachdem er sich in Syrien auch sonst in keiner Weise politisch oder anderweitig regimekritisch exponierte, besteht kein Grund zur Annahme, er habe im Zeitraum vor seiner Ausreise derart die Aufmerksamkeit der syrischen Sicherheitsbehörden auf sich gezogen, dass er asylrechtlich relevante Verfolgungsmassnahmen zu befürchten gehabt hätte. Auch die auf Beschwerdeebene bezüglich der Asylvorbringen eingereichten Beweismittel vermögen diesbezüglich keine andere Einschätzung herbeizuführen.</w:t>
      </w:r>
    </w:p>
    <w:p>
      <w:r>
        <w:rPr>
          <w:b/>
        </w:rPr>
        <w:t>E. 4.4</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auf welche nachfolgend einzugehen ist [vgl. E. 5]) eine asylrechtlich relevante Gefährdungssituation vor.</w:t>
      </w:r>
    </w:p>
    <w:p>
      <w:r>
        <w:rPr>
          <w:b/>
        </w:rPr>
        <w:t>E. 4.5</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5.1</w:t>
      </w:r>
    </w:p>
    <w:p>
      <w:r>
        <w:t>In einem nächsten Schritt ist auf die subjektiven Nachfluchtgründe einzugehen, welche der Beschwerdeführer mit dem Vorbringen geltend macht, er betätige sich exilpolitisch, indem er in der Schweiz an Demonstrationen gegen das syrische Regime teilnehme und im Internet Informationen zur Situation in Syrien verbreite.</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 352, Entscheidungen und Mitteilungen der Schweizerischen Asylrekurskommission [EMARK] 2000 Nr. 16 E. 5a, mit weiteren Hinweisen).</w:t>
      </w:r>
    </w:p>
    <w:p>
      <w:r>
        <w:rPr>
          <w:b/>
        </w:rPr>
        <w:t>E. 5.3</w:t>
      </w:r>
    </w:p>
    <w:p>
      <w:r>
        <w:t>Vorliegend erweist sich, dass die geltend gemachte exilpolitische Betätigung keinen subjektiven Nachfluchtgrund setzt.</w:t>
      </w:r>
    </w:p>
    <w:p>
      <w:r>
        <w:rPr>
          <w:b/>
        </w:rPr>
        <w:t>E. 5.3.1</w:t>
      </w:r>
    </w:p>
    <w:p>
      <w:r>
        <w:t>Der Beschwerdeführer machte erstmals mit Eingabe vom 1. September 2011 subjektive Nachfluchtgründe wegen exilpolitischer Aktivitäten geltend. Aus den mit dieser und den weiteren seitherigen Eingaben eingereichten Beweismitteln geht zum einen hervor, dass der Beschwerdeführer verschiedentlich an Demonstrationen teilgenommen hat (so am 19. August 2011 in Zürich, am 7. Februar 2012 in Bern, am 12. März 2012 in Zürich sowie an seit März 2012 durchgeführten sogenannten Freitagsdemonstrationen in Zürich). Anlässlich dieser Demonstrationen wurde auf Transparenten und Flugblättern das syrische Regime kritisiert, wobei von diesen Kundgebungen entsprechende Flugblätter, Photographien und Filmaufnahmen im Internet veröffentlicht wurden. Dabei publizierte der Beschwerdeführer derartige Bilder auch unter einem "Facebook"-Profil seines Namens, wobei er ausserdem durch Einfügen von Links auf sonstige Websites mit regimekritischem Inhalt verwies.</w:t>
      </w:r>
    </w:p>
    <w:p>
      <w:r>
        <w:rPr>
          <w:b/>
        </w:rPr>
        <w:t>E. 5.3.2</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5.3.3</w:t>
      </w:r>
    </w:p>
    <w:p>
      <w:r>
        <w:t>Aus den eingereichten Beweismitteln geht einzig hervor, dass der Beschwerdeführer an den erwähnten Demonstrationen teilnahm und im Internet in der genannten Weise Informationen veröffentlichte. Hingegen lassen weder die erwähnten Bilder und Videoaufnahmen noch die entsprechenden Bestätigungsschreiben eine schlüssige Beurteilung der massgeblichen Frage zu, in welcher Weise der Beschwerdeführer selbst individuell gegen das syrische Regime Stellung bezogen und in welchem Ausmass er sich folglich politisch exponiert hat, so dass effektiv davon auszugehen wäre, er habe als kurdischer Exil-Oppositioneller beziehungsweise als Regimekritiker die Aufmerksamkeit der syrischen Behörden derart auf sich gezogen, dass er nunmehr eine Verfolgung im Sinne von Art. 3 AsylG zu befürchten hat. Zwar macht der Beschwerdeführer durch seinen Rechtsvertreter geltend, er sei auf den jeweiligen Bildern von Kundgebungen "prominent erkennbar". Eine solche Erkennbarkeit bezieht sich jedoch ausschliesslich auf die Tatsache der blossen Teilnahme an den fraglichen Demonstrationen, nicht aber auf eine spezifische, über die Rolle eines blossen Mitläufers hinausgehende und damit einer besonderen Exponiertheit gleichkommende Funktion innerhalb der regimekritischen exilsyrischen Gemeinschaft. Auch wenn davon ausgegangen werden muss, dass die syrischen Geheimdienste die exilpolitischen Aktivitäten im Ausland beobachten, so ist mangels einer erkennbaren spezifischen Rolle des Beschwerdefüh­rers gleichwohl nicht anzunehmen, dass er zur Kategorie jener exponierten Aktivisten gehört, auf die sich tatsächlich die konkrete Aufmerksamkeit der syrischen Behörden richtet. Soweit der Beschwerdeführer im vorliegenden Verfahren Zeitungsberichte einreichte, wonach die syrische revolutionäre Bewegung durch Aktivisten in der Schweiz unterstützt werde, wobei diese Personen wegen ihres Engagements durch den syrischen Geheimdienst bedroht seien, ist ausserdem Folgendes festzuhalten: Diese Berichte beziehen sich zum einen auf eine Person, die noch vor wenigen Monaten selbst in Syrien politisch aktiv war und offenbar als kommunikatives Bindeglied zwischen Widerstandsgruppen in Syrien und entsprechenden Organisationen im Ausland fungiert. Zum anderen wird in diesen Berichten ein syrischer Staatsangehöriger genannt, welcher im Rahmen der exilpolitischen Aktivitäten gegen das syrische Regime eine führende Rolle einnimmt. Ohne weiter auf die genannten Personen einzugehen, ist es nach dem zuvor Gesagten als offensichtlich zu bezeichnen, dass der Beschwerdeführer keine vergleichbare exilpolitische Funktionen ausübt. Damit kommt den genannten Beweismitteln, die sich auf Dritte beziehen, im vorliegenden Fall keine entscheidwesentliche Bedeutung zu.</w:t>
      </w:r>
    </w:p>
    <w:p>
      <w:r>
        <w:rPr>
          <w:b/>
        </w:rPr>
        <w:t>E. 5.3.4</w:t>
      </w:r>
    </w:p>
    <w:p>
      <w:r>
        <w:t>Im genannten Zusammenhang ist schliesslich auf den im Verlauf des vorliegenden Verfahrens gestellten Antrag einzugehen, es seien die Asyldossiers verschiedener Asylgesuchsteller syrischer Herkunft beizuziehen. Dies wurde im Wesentlichen damit begründet, in den fraglichen Fällen bestünden Verbindungen zu Personen, die in Syrien inhaftiert und zu in der Schweiz lebenden Kurden be­fragt worden seien. Dieser Umstand belege, dass die syrischen Behörden über die exilpolitische Betätigung von syrischen Staatsangehörigen im Ausland informiert seien. Diesbezüglich ist zunächst festzuhalten, dass in keiner Weise ausgeführt wird, inwiefern der Beschwerdeführer selbst mit diesen Personen in Verbindung stehen soll. Ausserdem ist angesichts der niedrigschwelligen regimekritischen Aktivitäten des Beschwerdeführers in der Schweiz von vornherein auch nicht ersichtlich, welche Erkenntnisse aus einem Beizug der genannten Verfahrensdossiers hinsichtlich des Beschwerdeführers resultieren könnten. Der genannte Verfahrensantrag ist folglich abzuweisen.</w:t>
      </w:r>
    </w:p>
    <w:p>
      <w:r>
        <w:rPr>
          <w:b/>
        </w:rPr>
        <w:t>E. 5.4</w:t>
      </w:r>
    </w:p>
    <w:p>
      <w:r>
        <w:t>Nach dem Gesagten liegen somit keine ausreichenden Anhaltspunkte dafür vor, dass der Beschwerdeführer aufgrund seiner Beteiligung an exilpolitischen Aktivitäten in seinem Heimatland Syrien einer spezifischen Gefährdung im Sinne von Art. 3 AsylG ausgesetzt sein könnte.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BVGE 2009/50 E. 9 S. 733 m.w.N. sowie EMARK 2001 Nr. 21).</w:t>
      </w:r>
    </w:p>
    <w:p>
      <w:r>
        <w:rPr>
          <w:b/>
        </w:rPr>
        <w:t>E. 6.3</w:t>
      </w:r>
    </w:p>
    <w:p>
      <w:r>
        <w:t>Im Sinne einer Klarstellung ist im Übrigen festzuhalten, dass sich aus den zuvor angestellten Erwägungen nicht der Schluss ergibt, der Beschwerdeführer sei zum heutigen Zeitpunkt angesichts der jüngsten Entwicklungen der Situation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im Rahmen der wiedererwägungsweisen Anordnung der vorläufigen Aufnahme des Beschwerdeführers wegen Unzumutbarkeit des Wegweisungsvollzugs Rechnung getragen, und auf diesen Punkt ist folglich im vorliegenden Verfahren nicht weiter einzugehen.</w:t>
      </w:r>
    </w:p>
    <w:p>
      <w:r>
        <w:rPr>
          <w:b/>
        </w:rPr>
        <w:t>E. 7</w:t>
      </w:r>
    </w:p>
    <w:p>
      <w:r>
        <w:t>Aus den angestellten Erwägungen ergibt sich, dass die angefochtene Ver­fügung, soweit sie im vorliegenden Verfahren zu überprüfen ist (vgl. E. 2.2), Bundesrecht nicht verletzt, den rechtserheblichen Sachverhalt richtig und vollständig feststellt und angemessen ist (Art. 106 AsylG). Die Beschwerde ist folglich abzuweisen, soweit sie nicht gegenstandslos geworden ist.</w:t>
      </w:r>
    </w:p>
    <w:p>
      <w:r>
        <w:rPr>
          <w:b/>
        </w:rPr>
        <w:t>E. 8.1</w:t>
      </w:r>
    </w:p>
    <w:p>
      <w:r>
        <w:t>Indem die Vorinstanz den angefochtenen Entscheid teilweise in Wiedererwägung gezogen und wegen Unzumutbarkeit des Wegweisungsvollzugs die vorläufige Aufnahme des Beschwerdeführers angeordnet hat, hat sich erwiesen, dass die Beschwerde nicht von vornherein aussichtslos war. Des Weiteren liegt eine Fürsorgebestätigung vor, und es sind keine Anhaltspunkte dafür gegeben, dass sich die finanzielle Lage des Beschwerdeführers wesentlich verändert hat. Das Gesuch um Gewährung der unentgeltlichen Rechtspflege im Sinne von Art. 65 Abs. 1 VwVG ist somit gutzuheissen. Folglich hat der Beschwerdeführer keine Verfahrenskosten zu tragen.</w:t>
      </w:r>
    </w:p>
    <w:p>
      <w:r>
        <w:rPr>
          <w:b/>
        </w:rPr>
        <w:t>E. 8.2</w:t>
      </w:r>
    </w:p>
    <w:p>
      <w:r>
        <w:t>Aufgrund der teilweisen vorinstanzlichen Wiedererwägung des angefochtenen Entscheids ist der Beschwerdeführer faktisch mit seinen Beschwerdebegehren teilweise durchgedrungen. Somit ist ihm eine angemessene, um zwei Drittel reduzierte Parteientschädigung zu entrichten (vgl. Art. 64 Abs. 1 VwVG i.V.m. Art. 37 VGG; Art. 7 ff. VGKE). Seitens der beiden im Verlauf des Beschwerdeverfahrens mandatierten Rechtsvertreter sind keine Kostennoten eingereicht worden. Auf die Nachforderung solcher Belege wird indessen verzichtet (vgl. Art. 14 Abs. 2 VGKE), weil im vorliegenden Verfahren der Aufwand des Schriftenwechsels zuverlässig abgeschätzt werden kann. Gestützt auf die in Betracht zu ziehenden Bemessungsfaktoren (Art. 9-13 VGKE) und um zwei Drittel gekürzt wird die Parteientschädigung aufgrund der Akten daher auf Fr. 600.-- (inkl. Auslagen und Mehrwertsteuer)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