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D-6562/2025 vom 31. Juli 2025</w:t>
      </w:r>
    </w:p>
    <w:p>
      <w:r>
        <w:t>Bundesverwaltungsgericht, 2025-07-31, DE</w:t>
      </w:r>
    </w:p>
    <w:p>
      <w:r>
        <w:rPr>
          <w:b/>
        </w:rPr>
        <w:t xml:space="preserve">Quelle: </w:t>
      </w:r>
      <w:r>
        <w:t>https://mcp.opencaselaw.ch/entscheid/bvger_D-6562_2025_d20250731</w:t>
      </w:r>
    </w:p>
    <w:p>
      <w:r>
        <w:t>FR: TAF D-6562/2025 du 31 juillet 2025</w:t>
      </w:r>
    </w:p>
    <w:p>
      <w:r>
        <w:t>IT: TAF D-6562/2025 del 31 luglio 2025</w:t>
      </w:r>
    </w:p>
    <w:p>
      <w:pPr>
        <w:pStyle w:val="Heading2"/>
      </w:pPr>
      <w:r>
        <w:t>Regeste</w:t>
      </w:r>
    </w:p>
    <w:p>
      <w:r>
        <w:t>Asyl und Wegweisung | Asyl und Wegweisung; Verfügung des SEM vom 31. Juli 2025</w:t>
      </w:r>
    </w:p>
    <w:p>
      <w:pPr>
        <w:pStyle w:val="Heading2"/>
      </w:pPr>
      <w:r>
        <w:t>Erwägungen</w:t>
      </w:r>
    </w:p>
    <w:p>
      <w:r>
        <w:rPr>
          <w:b/>
        </w:rPr>
        <w:t>E. 12</w:t>
      </w:r>
    </w:p>
    <w:p>
      <w:r>
        <w:t>August 2025 E. 9.2.2 m.H.a. BGE 137 I 305 E. 3.2), dass die Beschwerdeführerinnen somit auch aus dem CEDAW nichts zu ihren Gunsten abzuleiten vermögen, dass gemäss konstanter Praxis des Bundesverwaltungsgerichts in der ge- samten Türkei nicht von einer Situation allgemeiner Gewalt oder bürger- kriegsähnlichen Verhältnissen auszugehen ist, was auch für Angehörige der kurdischen Ethnie gilt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A58/13 S.9 f.), welchen die Be- schwerdeführerinnen in der Rechtsmitteleingabe nichts Substantielles ent- gegensetzen, dass ihr Vorbringen auf Beschwerdeebene, die volljährige Beschwerde- führerin habe sich mittlerweile von ihrem Ehemann/Partner respektive dem Vater der minderjährigen Beschwerdeführerin getrennt, weshalb bei einer Rückkehr in die Türkei nicht mehr mit dessen Unterstützung zu rechnen sei, unbelegt ist und bei Wahrunterstellung an der Zumutbarkeit des Weg- weisungsvollzugs nichts ändert, dass insbesondere auch die eingereichten Screenshots eines Whats-App Chats an dieser Einschätzung nichts zu ändern vermögen (vgl. Beschwer- debeilage 4), zumal diese als reine Gefälligkeitsschreiben zu qualifizieren sind respektive anzunehmen ist, sie seien bewusst konstruiert worden,</w:t>
      </w:r>
    </w:p>
    <w:p>
      <w:r>
        <w:t>D-6562/2025 Seite 8 dass auch das Kindeswohl dem Vollzug der Wegweisung offensichtlich nicht entgegensteht, hielt sich die minderjährige Beschwerdeführerin, die nahezu ihr ganzes Leben in der Türkei verbrachte, lediglich kurze Zeit in der Schweiz auf und wird gemeinsam mit ihrer Mutter – ihrer Hauptbezugs- person – in den Heimatstaat zu ihrem Vater, zu welchem sie weiterhin den Kontakt pflegt (vgl. A28/7 F14), zurückkehren, dass folglich auch der Einwand in der Beschwerdeschrift, die minderjährige Beschwerdeführerin werde sich in der Türkei nicht integrieren können, un- begründet ist, wird sie dabei doch auf die Unterstützung ihrer Eltern zu- rückgreifen können, dass daran auch das auf Beschwerdeebene zu den Akten gereichte Zeug- nis einer Sekundarstufe in der Schweiz nichts zu ändern vermag (vgl. Be- schwerdebeilage 5), zumal dieses lediglich den (nicht in Frage stehenden) Schulbesuch der minderjährigen Beschwerdeführerin in der Schweiz be- legt, dass sich der Vollzug der Wegweisung somit in allgemeiner wie auch in individueller Hinsicht als zumutbar erweist, dass es den Beschwerdeführerinnen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 führerinnen aufzuerlegen (Art. 63 Abs. 1 VwVG) und auf insgesamt Fr. 750.– festzusetzen sind (Art. 1–3 des Reglements vom 21. Februar 2008 über die Kosten und Entschädigungen vor dem Bundesverwaltungs- gericht [VGKE, SR 173.320.2]), wobei sie durch den in gleicher Höhe ge- leisteten Kostenvorschuss gedeckt sind.</w:t>
      </w:r>
    </w:p>
    <w:p>
      <w:r>
        <w:t>(Dispositiv nächste Seite)</w:t>
      </w:r>
    </w:p>
    <w:p>
      <w:r>
        <w:t>D-6562/2025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