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D-6562/2011 vom 6. Juni 2012</w:t>
      </w:r>
    </w:p>
    <w:p>
      <w:r>
        <w:t>Bundesverwaltungsgericht, 2012-06-06, DE</w:t>
      </w:r>
    </w:p>
    <w:p>
      <w:r>
        <w:rPr>
          <w:b/>
        </w:rPr>
        <w:t xml:space="preserve">Quelle: </w:t>
      </w:r>
      <w:r>
        <w:t>https://mcp.opencaselaw.ch/entscheid/bvger_D-6562_2011</w:t>
      </w:r>
    </w:p>
    <w:p>
      <w:r>
        <w:t>FR: TAF D-6562/2011 du 6 juin 2012</w:t>
      </w:r>
    </w:p>
    <w:p>
      <w:r>
        <w:t>IT: TAF D-6562/2011 del 6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der Beschwerdeführer am vorinstanzlichen Asylverfahren teilgenommen haben muss und das Stellen eines Asylgesuchs als relativ höchstpersönliches Recht gilt, das vertretungsfeindlich ist (vgl. das zur Publikation vorgesehene Urteil BVGE E-3162/2011 vom 6. Dezember 2011 E. 4.3.2).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im zur Publikation vorgesehenen vorgenannten Urteil seine Rechtsprechung bestätigt, wonach es sich bei der Erhebung eines Asylgesuchs um ein relativ höchstpersönliches Recht handelt. Urteilsfähige Personen müssen höchstpersönliche Rechte wie ein Asylgesuch selbständig, mithin ohne die Hilfe eines Vertreters ausüben. Das Stellen eines Asylgesuchs durch einen Vertreter ist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(vgl. a.a.O. E. 4.3.2). Der Beschwerdeführer ist eine urteilsfähige und mündige Person, die ein Asylgesuch persönlich stellen muss. Nachfolgend ist zu prüfen, ob eine persönliche Willenserklärung vorliegt, die auf ein Asylgesuch schliessen lässt, und - verneinendenfalls - ob der Mangel im erstinstanzlichen Ver­fahren geheilt worden ist.</w:t>
      </w:r>
    </w:p>
    <w:p>
      <w:r>
        <w:rPr>
          <w:b/>
        </w:rPr>
        <w:t>E. 3.2</w:t>
      </w:r>
    </w:p>
    <w:p>
      <w:r>
        <w:t>Das erstinstanzliche Asylverfahren wurde durch ein Schreiben der Cousine des Beschwerdeführers eingeleitet. Diese legte ihrem Schreiben vom 19. März 2011 einen handgeschriebenen Brief in englischer Sprache bei, den der Beschwerdeführer verfasst haben soll. Der Brief ist in der ersten Person abgefasst und führt im Wesentlichen aus, dass der Beschwerdeführer nach einer Vorladung für den Militärdienst aus Eritrea in den Sudan geflohen sei. Über Libyen sei er schliesslich nach Tunesien gelangt. Das Dokument trägt jedoch keine Unterschrift, und es handelt sich um eine Telefaxkopie. Aufgrund der fehlenden Originalunterschrift und weil nicht klar ist, ob das Dokument vom Beschwerdeführer abgefasst wurde, kann das Dokument nicht als ein persönlich gestelltes Asylgesuch im Sinne von Art. 18 AsylG angesehen werden.</w:t>
      </w:r>
    </w:p>
    <w:p>
      <w:r>
        <w:rPr>
          <w:b/>
        </w:rPr>
        <w:t>E. 3.3</w:t>
      </w:r>
    </w:p>
    <w:p>
      <w:r>
        <w:t>Eine mündliche Anhörung des Beschwerdeführers fand nicht statt. Die von der Vorinstanz schriftlich gestellten Fragen wurden wiederum von der Cousine des Beschwerdeführers, so gut es ihr möglich gewesen sei, beantwortet. Der Beschwerdeführer trat insoweit auch nach Einreichung des Schreibens vom 19. März 2011 im erstinstanzlichen Verfahren nicht persönlich in Erscheinung.</w:t>
      </w:r>
    </w:p>
    <w:p>
      <w:r>
        <w:rPr>
          <w:b/>
        </w:rPr>
        <w:t>E. 3.4</w:t>
      </w:r>
    </w:p>
    <w:p>
      <w:r>
        <w:t>Im erstinstanzlichen Verfahren reichte die Cousine eine Vollmacht mit der Unterschrift des Beschwerdeführers in Telefaxkopie ein. Darin ermächtigt er sie, ihn in seinem Asylverfahren zu vertreten ("The principal [...] authorizes [...] to follow his asyl application case."). Dieses Dokument kann nicht als Asylgesuch, das keiner Vertretung zugänglich ist, ausgelegt werden. Im Dokument wird weder um Asyl für den Beschwerdeführer in der Schweiz ersucht, noch dargelegt, inwieweit er in Eritrea oder in Tunesien gefährdet sei. Das Dokument genügt daher nicht als Asylgesuch im Sinne von Art. 18 AsylG.</w:t>
      </w:r>
    </w:p>
    <w:p>
      <w:r>
        <w:rPr>
          <w:b/>
        </w:rPr>
        <w:t>E. 3.5</w:t>
      </w:r>
    </w:p>
    <w:p>
      <w:r>
        <w:t>Die beiden Dokumente zusammen - der nicht unterzeichnete Brief und die Vollmacht - vermögen den Mangel des nicht persönlich gestellten Asylgesuchs nicht zu heilen. Notwendig ist eine klar dem Beschwerdeführer zurechenbare Willensäusserung, mit der er zu erkennen gibt, dass er die Schweiz - wegen einer asylrelevanten Verfolgung - um Schutz durch Asyl ersucht. Eine solche Willensäusserung fehlt. Im Übrigen ist festzuhalten, dass die lediglich in Telefaxkopie eingereichte Vollmacht den gesetzlichen Anforderungen nicht genügt, da sie weder die Originalunterschrift der Cousine als Vollmachtnehmerin noch des Beschwerdeführers als Vollmachtgeber enthält.</w:t>
      </w:r>
    </w:p>
    <w:p>
      <w:r>
        <w:rPr>
          <w:b/>
        </w:rPr>
        <w:t>E. 4</w:t>
      </w:r>
    </w:p>
    <w:p>
      <w:r>
        <w:t>Zusammenfassend ist festzuhalten, dass kein zulässig gestelltes Asylgesuch des Beschwerdeführers bei den Akten liegt. Indem die Vorinstanz auf das Gesuch dennoch eingetreten ist und es in der Sache behandelt hat, hat sie Bundesrecht verletzt. Die angefochtene Verfügung ist daher aufzuheben und die Sache zur Neubeurteilung an die Vorinstanz zurückzuweisen. Nach der Rückweisung hat die Vorinstanz entweder auf das Asylgesuch mangels Höchstpersönlichkeit nicht einzutreten oder den Beschwerdeführer aufzufordern, seinen Willen zur Einreichung eines Asylgesuchs in der Schweiz klar zu manifestieren.</w:t>
      </w:r>
    </w:p>
    <w:p>
      <w:r>
        <w:rPr>
          <w:b/>
        </w:rPr>
        <w:t>E. 5.1</w:t>
      </w:r>
    </w:p>
    <w:p>
      <w:r>
        <w:t>Bei diesem Ausgang des Verfahrens sind dem Beschwerdeführer keine Kosten aufzuerlegen (Art. 63 Abs. 1 und 2 VwVG). Das Gesuch um Gewährung der unentgeltlichen Rechtspflege nach Art. 65 Abs. 1 VwVG ist damit gegenstandslos geworden.</w:t>
      </w:r>
    </w:p>
    <w:p>
      <w:r>
        <w:rPr>
          <w:b/>
        </w:rPr>
        <w:t>E. 5.2</w:t>
      </w:r>
    </w:p>
    <w:p>
      <w:r>
        <w:t>Obsiegende Parteien haben Anspruch auf eine Parteientschädigung für die ihnen erwachsenen notwendigen und verhältnismässig hohe Kosten (Art. 64 Abs. 1 VwVG). Zwar ist die beschwerdeführende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Der Antrag auf Ausrichtung einer Parteikostenentschädigung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