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D-6560/2020 vom 10. April 2024</w:t>
      </w:r>
    </w:p>
    <w:p>
      <w:r>
        <w:t>Bundesverwaltungsgericht, 2024-04-10, FR</w:t>
      </w:r>
    </w:p>
    <w:p>
      <w:r>
        <w:rPr>
          <w:b/>
        </w:rPr>
        <w:t xml:space="preserve">Quelle: </w:t>
      </w:r>
      <w:r>
        <w:t>https://mcp.opencaselaw.ch/entscheid/bvger_D-6560_2020</w:t>
      </w:r>
    </w:p>
    <w:p>
      <w:r>
        <w:t>FR: TAF D-6560/2020 du 10 avril 2024</w:t>
      </w:r>
    </w:p>
    <w:p>
      <w:r>
        <w:t>IT: TAF D-6560/2020 del 10 aprile 2024</w:t>
      </w:r>
    </w:p>
    <w:p>
      <w:pPr>
        <w:pStyle w:val="Heading2"/>
      </w:pPr>
      <w:r>
        <w:t>Regeste</w:t>
      </w:r>
    </w:p>
    <w:p>
      <w:r>
        <w:t>Asile et renvoi</w:t>
      </w:r>
    </w:p>
    <w:p>
      <w:pPr>
        <w:pStyle w:val="Heading2"/>
      </w:pPr>
      <w:r>
        <w:t>Erwägungen</w:t>
      </w:r>
    </w:p>
    <w:p>
      <w:r>
        <w:rPr>
          <w:b/>
        </w:rPr>
        <w:t>E. 25</w:t>
      </w:r>
    </w:p>
    <w:p>
      <w:r>
        <w:t>juin 2020 consid. 7.3.1.2 ; D-2909/2018 du 1er mai 2020 consid. 12.5.3), que dans ce contexte, il appartiendra aux thérapeutes de préparer le recourant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qu’en tout état de cause, les troubles psychiques du recourant pourront être pris en charge au Maroc, que ce pays dispose en effet d'un système de santé bien développé et, en particulier dans les centres urbains, d'un nombre suffisant d'établissements proposant des thérapies psychiatriques ou psychologiques (cf. arrêt du Tribunal D-2963/2020 du 13 mars 2024 consid. 7.1.5.3 et jurisp. cit.),</w:t>
      </w:r>
    </w:p>
    <w:p>
      <w:r>
        <w:t>D-6560/2020</w:t>
      </w:r>
    </w:p>
    <w:p>
      <w:r>
        <w:t>Page 10</w:t>
      </w:r>
    </w:p>
    <w:p>
      <w:r>
        <w:t>qu’en outre, le régime de protection sociale généralisée mis en place dans ce pays couvre tous les salariés contre les risques de maladie, de maternité, d’invalidité et de vieillesse, que tous les citoyens marocains sont tenus d’être affiliés à une couverture médicale de base appelée l’Assurance Maladie Obligatoire (AMO), par le biais de leur caisse nationale de rattachement, qu’en outre, les plus démunis ont accès au Régime d’Assistance Médicale (RAMED), ce régime étant fondé sur le principe de l’assistance sociale et de la solidarité nationale, qu’il permet ainsi aux personnes non assujetties à l’AMO de bénéficier de soins de santé dans les établissements publics ainsi que des services sanitaires relevant de l’Etat (cf. arrêt du Tribunal E-1217/2023 du 31 mai 2023 p. 13 et jurisp. cit.), qu’au surplus, le recourant aura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qu’en outre, le recourant est jeune, titulaire d’un baccalauréat obtenu en juin 201(...) et a exercé une activité professionnelle au Maroc, alors même qu’il était encore mineur, notamment pour financer son voyage jusqu’en Suisse, autant d’éléments susceptibles de faciliter sa réinsertion au pays, que l'exécution du renvoi est enfin possible (art. 83 al. 2 LEI ; cf.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w:t>
      </w:r>
    </w:p>
    <w:p>
      <w:r>
        <w:t>D-6560/2020</w:t>
      </w:r>
    </w:p>
    <w:p>
      <w:r>
        <w:t>Page 11</w:t>
      </w:r>
    </w:p>
    <w:p>
      <w:r>
        <w:t>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dès lors que les conclusions du recours sont apparues d’emblée vouées à l’échec (art. 65 al. 1 PA),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page suivante)</w:t>
      </w:r>
    </w:p>
    <w:p>
      <w:r>
        <w:t>D-6560/2020</w:t>
      </w:r>
    </w:p>
    <w:p>
      <w:r>
        <w:t>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