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D-6558/2013 vom 14. März 2014</w:t>
      </w:r>
    </w:p>
    <w:p>
      <w:r>
        <w:t>Bundesverwaltungsgericht, 2014-03-14, DE</w:t>
      </w:r>
    </w:p>
    <w:p>
      <w:r>
        <w:rPr>
          <w:b/>
        </w:rPr>
        <w:t xml:space="preserve">Quelle: </w:t>
      </w:r>
      <w:r>
        <w:t>https://mcp.opencaselaw.ch/entscheid/bvger_D-6558_2013</w:t>
      </w:r>
    </w:p>
    <w:p>
      <w:r>
        <w:t>FR: TAF D-6558/2013 du 14 mars 2014</w:t>
      </w:r>
    </w:p>
    <w:p>
      <w:r>
        <w:t>IT: TAF D-6558/2013 del 14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2 der diesbezüglichen Übergangsbestimmungen gilt für die im Zeit­punkt des Inkrafttretens hängigen Verfahren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Vorab werden in der Beschwerde formelle Rügen erhoben. Das BFM habe den Untersuchungsgrundsatz verletzt, weil es keine Abwägung zwi­schen den für und gegen die Beschwerdeführerin sprechenden Sachver­haltselementen vorgenommen habe. Entgegen der Auffassung des BFM handle es sich bei den von der Beschwerdeführerin eingereichten Beweismitteln um rechtsgenügliche Urkunden für ihre eritreische Herkunft. Indem das BFM jegliche Beweismittel als Fälschung qualifiziere, verletze es neben dem Untersuchungsgrundsatz auch die Begründungs- und Abklärungspflicht; die Vorgehensweise des BFM grenze schon an Willkür. Ausserdem sei der Nachweis der Täuschung mit der blossen Behauptung, dass die Beweismittel gefälscht seien, nicht erbracht.</w:t>
      </w:r>
    </w:p>
    <w:p>
      <w:r>
        <w:rPr>
          <w:b/>
        </w:rPr>
        <w:t>E. 4.2</w:t>
      </w:r>
    </w:p>
    <w:p>
      <w:r>
        <w:t>Der vorinstanzliche Entscheid kam entgegen den Beschwerdevorbrin­gen nicht unter Verletzung von Bestimmungen des rechtlichen Gehörs zu­stande. Zwar war das BFM gehalten, bei der Prüfung der Glaubhaftigkeit der Vorbringen eine Abwägung vorzunehmen. Eine Verletzung dieser Abwägungspflicht kann aber nicht schon im Umstand, dass das BFM in seinen Erwägungen insbesondere die aus seiner Sicht zentralen Gründe für die Unglaubhaftigkeit der Darlegungen explizit auflistete, erblickt wer­den. Die Beschränkung auf die Auflistung lediglich entscheidwesentlicher Argumente erscheint vielmehr als zulässig und schliesst eine vorgängige Auseinandersetzung mit Aspekten, welche allenfalls, wenn auch nicht ausschlaggebend, für die Glaubhaftigkeit der Vorbringen sprechen, offen­sichtlich nicht aus. Auch die Würdigung der eingereichten Kopie der eritreischen Identitätskarte des Vaters der Beschwerdeführerin ist im Ergebnis nicht zu beanstanden und der Beschwerdeführerin war es mög­lich, den vorinstanzlichen Entscheid sachgerecht anzufechten. Demnach ist weder eine Verletzung der Untersuchungsmaxime noch eine solche der Begründungspflicht seitens der Vorinstanz zu erkennen.</w:t>
      </w:r>
    </w:p>
    <w:p>
      <w:r>
        <w:rPr>
          <w:b/>
        </w:rPr>
        <w:t>E. 4.3</w:t>
      </w:r>
    </w:p>
    <w:p>
      <w:r>
        <w:t>Der Umstand, dass das Bundesamt den eingereichten Dokumenten den Beweiswert absprach, stellt keine Verletzung der Begründungspflicht dar. Vielmehr führte die Vorinstanz in der angefochtenen Verfügung aus, dass es sich bei der eingereichten Identitätskarte des Vaters der Beschwerdeführerin um eine Fotokopie handle, welcher in dieser Eigen­schaft kein Beweiswert zukomme.</w:t>
      </w:r>
    </w:p>
    <w:p>
      <w:r>
        <w:rPr>
          <w:b/>
        </w:rPr>
        <w:t>E. 4.4</w:t>
      </w:r>
    </w:p>
    <w:p>
      <w:r>
        <w:t>Des Weiteren hat das BFM festgestellt, dass die eingereichte äthiopi­sche Aufenthaltsbewilligung für eritreische Staatsangehörige in Äthiopien offensichtlich verfälscht sei. Näher ist auf die gewonnenen Erkenntnisse, die sich mit jenen des Gerichts in vergleichbaren Fällen decken, aus Gründen der in diesem Zusammenhang gebotenen Zurückhaltung bei Fälschungsmerkmalen nicht einzugehen. Das Bundesverwaltungsgericht hat keine Veranlassung, die von der Beschwerdeführerin in ihrer Rechtsmitteleingabe bestrittene Richtigkeit der Analyse des BFM in Frage zu stellen; es teilt die Auffassung der Vorinstanz, wonach es sich bei der Aufenthaltsbewilligung ebenfalls um eine Fälschung handelt, und die eingereichten Beweismittel gestützt auf Art. 10 Abs. 4 AsylG einzuziehen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Vorbringen auf Beschwerdeebene sind nicht geeignet, eine Ände­rung der vorinstanzlichen Verfügung zu bewirken. Der Argumentation der Vorinstanz werden keine stichhaltigen und substanziierten Gründe entge­gengesetzt. Eine diesbezügliche Auseinandersetzung unterbleibt zwar nicht gänzlich. Die Ausführungen der Beschwerdeführerin vermögen je­doch die Erwägungen des BFM nicht umzustossen, da die Beschwerdeführerin im Wesentlichen an der Asylrelevanz und Stimmigkeit ihrer Vorbringen sowie an der Echtheit der von ihr eingereichten Beweismittel festhält. Um Wiederholungen zu vermeiden, kann auf die zutreffenden Erwägungen in der angefochtenen Verfügung des BFM sowie in der Zwischenverfügung des Bundesverwaltungsgerichts vom 29. November 2013 verwiesen werden.</w:t>
      </w:r>
    </w:p>
    <w:p>
      <w:r>
        <w:rPr>
          <w:b/>
        </w:rPr>
        <w:t>E. 6.2</w:t>
      </w:r>
    </w:p>
    <w:p>
      <w:r>
        <w:t>Im Rahmen einer Gesamtwürdigung aller Aussagen der Beschwerdeführerin kommt das Gericht zum Schluss, dass es ihr nicht gelungen ist, eine asylrelevante Verfolgung in ihrem Heimatland glaubhaft zu machen. Das BFM hat ihr Asylgesuch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In Äthiopien besteht keine Situation allgemeiner Gewalt, die sich über das ganze Staatsgebiet oder weite Teile davon erstrecken würde, und na­mentlich keine gänzlich unsichere, von bewaffneten Konflikten oder permanent drohenden Unruhen dominierte Lage, aufgrund derer der Be­schwerdeführer sich bei einer Rückkehr unvermeidlich einer konkreten Gefährdung ausgesetzt sehen würde. Grundsätzlich sind die Behörden von Amtes wegen verpflichtet, den Sachverhalt hinsichtlich des Bestehens allfälliger Wegweisungshinder­nisse abzuklären. Solche Abklärungen sind im vorliegenden Fall indessen nicht möglich, da die Identität der Beschwerdeführerin nicht feststeht und ihre Vorbringen im Asylpunkt unglaubhaft sind (vgl. die vorstehenden Erwägungen). Bei dieser Sachlage kann es nicht Sache der Asylbehörden sein, nach allfälligen Wegweisungshindernissen zu forschen, zumal die Untersuchungspflicht der Behörden nach Treu und Glauben ihre Grenzen an der Mitwirkungspflicht der asylsuchenden Person findet (vgl. Art. 8 AsylG), welche im Übrigen auch die Substanziierungslast trägt (vgl. Art. 7 AsylG). Wie vorstehend ausgeführt hat die Beschwerdeführerin ihre Asylvorbringen teils widersprüchlich, teils unbegründet und tatsachenwidrig geschildert. Darüber hinaus hat sie gefälschte Beweismittel ins Recht gelegt. Angesichts dieser Sachlage hat die Beschwerdeführerin die Folgen der mangelhaften Mitwirkung zu tragen, indem vermutungsweise davon auszugehen ist, sie habe bei einer Rückkehr nach Äthiopien keine individuell begründete, konkrete Gefähr­dung zu gewärtigen. Nach dem Gesagten erweist sich der Vollzug der Wegweisung auch als zumutbar.</w:t>
      </w:r>
    </w:p>
    <w:p>
      <w:r>
        <w:rPr>
          <w:b/>
        </w:rPr>
        <w:t>E. 8.6</w:t>
      </w:r>
    </w:p>
    <w:p>
      <w:r>
        <w:t>Schliesslich ist der Vollzug auch möglich, da keine Vollzugshinder­nisse bestehen (Art. 83 Abs. 2 AuG), und es der Beschwerdeführerin ob­liegt, bei der Beschaffung gültiger Reisepapiere mitzuwirken (vgl. Art. 8 Abs. 4 AsylG und dazu auch BVGE 2008/34 E. 12 S. 513-515).</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der Beschwerdeführerin aufzuerlegen (Art. 63 Abs. 1 VwVG), auf insgesamt Fr. 600.-- festzusetzen (Art. 1-3 des Reglements vom 21. Februar 2008 über die Kosten und Entschädigungen vor dem Bundesverwaltungsge­richt [VGKE, SR 173.320.2]). Der am 16. Dezember 2013 geleistete Kostenvorschuss in derselben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