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D-6551/2006 vom 18. August 2008</w:t>
      </w:r>
    </w:p>
    <w:p>
      <w:r>
        <w:t>Bundesverwaltungsgericht, 2008-08-18, DE</w:t>
      </w:r>
    </w:p>
    <w:p>
      <w:r>
        <w:rPr>
          <w:b/>
        </w:rPr>
        <w:t xml:space="preserve">Quelle: </w:t>
      </w:r>
      <w:r>
        <w:t>https://mcp.opencaselaw.ch/entscheid/bvger_D-6551_2006</w:t>
      </w:r>
    </w:p>
    <w:p>
      <w:r>
        <w:t>FR: TAF D-6551/2006 du 18 août 2008</w:t>
      </w:r>
    </w:p>
    <w:p>
      <w:r>
        <w:t>IT: TAF D-6551/2006 del 18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einzutreten.</w:t>
      </w:r>
    </w:p>
    <w:p>
      <w:r>
        <w:rPr>
          <w:b/>
        </w:rPr>
        <w:t>E. 1.4</w:t>
      </w:r>
    </w:p>
    <w:p>
      <w:r>
        <w:t>Die beiden Kinder der Beschwerdeführer (vgl. Bst. H und I) sind in das vorliegende Verfahren miteinzubeziehen.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Würdigung der bestehenden Aktenlage ist von der Zugehörigkeit der Beschwerdeführer zur religiösen Minderheit der Ahmadyya in Pakistan auszugehen. Im Weiteren ist im Sinne der diesbezüglich zutreffenden (Beschwerde-) Vorbringen und eingereichten Beweismittel (diverse Presseartikel, Berichte über die Lage der Ahmadis in Pakistan) unbestritten, dass Ahmadis als religiöse Minderheit in Pakistan Nachteilen ausgesetzt sein können. In zwei publizierten Entscheidungen (vgl. EMARK 1996 Nr. 21 und Nr. 22) hat die ARK eine grundsätzliche Beurteilung der Lage der Ahmadis in Pakistan vorgenommen. Wie aus den Erwägungen zu diesen Entscheiden einlässlich folgt, sehen sich die Mitglieder der Glaubensgemeinschaft der Ahmadis mit zum Teil schwerwiegenden, von Seiten der Glaubensmehrheit der Sunniten ausgeübten Anfeindungen und Übergriffen konfrontiert. Die Mitglieder der vor rund einhundertzehn Jahren aus dem sunnitischen Islam hervorgegangenen Glaubensgemeinschaft der Ahmadis (bezüglich Anzahl der Gläubigen in Pakistan werden verschiedene Zahlen genannt) werden von den orthodoxen Muslimen als Abtrünnige angesehen. Die Glaubensmehrheit wirft ihnen vor, sie leugneten fundamentale Glaubenssätze. In der freien und öffentlichen Ausübung ihres Glaubens sind die Ahmadis beschränkt und sie unterliegen immer wieder schikanöser Behandlung durch Teile der übrigen Bevölkerung. In der Vergangenheit ist es vereinzelt zu massiven Übergriffen gekommen. Die Gemeinschaft der Ahmadis wird wegen ihres Glaubensbekenntnisses auch von staatlicher Seite sanktioniert, die einzelnen Mitglieder werden jedoch von den Behörden nicht systematisch verfolgt. Zu keiner anderen Beurteilung der Lage der Ahmadis in Pakistan gelangte die ARK sodann im Jahre 2002 (vgl. EMARK 2002 Nr. 3, S. 23 f.). Auf das Vorliegen einer Kollektivverfolgung kann somit auch weiterhin nicht geschlossen werden. Diese Einschätzung gilt auch in Berücksichtigung der in EMARK 2006 Nr. 18 begründeten Praxisänderung hinsichtlich der Frage der flüchtlingsrechtlichen Relevanz nichtstaatlicher Verfolgung (Wechsel von der Zurechenbarkeits- zur Schutztheorie; vgl. dazu auch Urteil des Bundesverwaltungsgerichts D-7054/2006 vom 1. Februar 2008 E. 4).</w:t>
      </w:r>
    </w:p>
    <w:p>
      <w:r>
        <w:rPr>
          <w:b/>
        </w:rPr>
        <w:t>E. 4.2</w:t>
      </w:r>
    </w:p>
    <w:p>
      <w:r>
        <w:t>In ihrem Grundsatzurteil EMARK 2006 Nr. 18 ist die ARK zum Schluss gekommen, dass eine völkerrechtskonforme Anwendung von Art. 3 AsylG im Lichte der Genfer Flüchtlingskonvention (Abkommen vom 28. Juli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Diese Voraussetzungen sind - unter Berücksichtigung der allgemeinen Situation der Ahmadis in Pakistan und den konkreten Umstände für den Beschwerdeführer - im vorliegenden Fall als gegeben zu erachten. Somit hat die Vorinstanz die Vorbringen des Beschwerdeführers, in seinem Heimatstaat als Ahmadi Behelligungen durch Glaubensgegner ausgesetzt zu sein, im Ergebnis zu Recht als nicht asylrelevant erachtet.</w:t>
      </w:r>
    </w:p>
    <w:p>
      <w:r>
        <w:rPr>
          <w:b/>
        </w:rPr>
        <w:t>E. 4.3</w:t>
      </w:r>
    </w:p>
    <w:p>
      <w:r>
        <w:t>Abschliessend ist im Zusammenhang mit den vom Beschwerdeführer geltend gemachten Schwierigkeiten mit Andersgläubigen, insbesondere N. A., noch festzuhalten, dass die diesbezüglichen Schilderungen (Anzeige, Festnahmen durch die Polizei) aus den von der Vorinstanz richtig festgestellten Gründen nicht glaubhaft sind. Zur Vermeidung von Wiederholungen kann daher auf die unter Angabe der jeweiligen Fundstellen in den Protokollen gemachten Ausführungen der Vorinstanz in der angefochtenen Verfügung verwiesen werden. Die Rechtsmitteleingabe vermag die vorhandenen Widersprüche nicht zu entkräften. Entgegen ihrer Auffassung sind die Schilderungen der Beschwerdeführer nicht "farbig und detailreich", sondern lassen vielmehr jegliche Anhaltspunkte für von ihnen tatsächlich Erlebtes vermissen. Dem mit Beschwerdeeingabe vom 29. Dezember 2003 gestellten Fristersuchen um Ansetzung einer 14-tägigen Nachfrist für das Beibringen von Beweismittel für das in Pakistan angeblich laufende Verfahren ist abzuweisen. Dem Beschwerdeführer stand hierzu genügend Zeit zur Verfügung, um allfällige diesbezügliche im Rahmen von Art. 32 Abs. 2 VwVG zu berücksichtigende Unterlagen einzureichen, weshalb die Folgen dieser Unterlassung die Beschwerdeführer zu tragen haben.</w:t>
      </w:r>
    </w:p>
    <w:p>
      <w:r>
        <w:rPr>
          <w:b/>
        </w:rPr>
        <w:t>E. 4.4</w:t>
      </w:r>
    </w:p>
    <w:p>
      <w:r>
        <w:t>Zusammenfassend ist festzustellen, dass die Beschwerdeführer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Beschwerdeführer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Allein mit der Zugehörigkeit des Beschwerdeführers zur Ahmadi-Glaubensgemeinschaft und den damit verbundenen Benachteiligungen durch die andersgläubigen Moslems oder gewisse Behördenmitglieder sind noch keine Nachteile im Sinne besonders schwerer Eingriffe in fundamentale Menschenrechte dargetan. Von einer generellen relevanten Gefährdung oder unmenschlichen Behandlung in Pakistan ansässiger Ahmadis kann nach Einschätzung des Bundesverwaltungsgerichts nicht gesprochen werden (vgl. EMARK 2002 Nr. 3 E. 7c S. 24 f.). Der Vollzug der Wegweisung stellt unter diesen Umständen keine Verletzung der völkerrechtlichen Verpflichtungen der Schweiz dar und ist somit zulässig (vgl. Art. 83 Abs. 3 AuG).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Eine Situation, welche die Beschwerdeführer als "Gewalt- oder de-facto-Flüchtling" qualifizieren würde, lässt sich aufgrund der heutigen Situation in Pakistan nicht in genereller Form bejahen. Hinsichtlich der aktuellen politischen Situation in Pakistan sowie der allgemeinen für einen allfälligen Vollzug der Wegweisung relevanten Situation der Beschwerdeführer aufgrund ihrer Zugehörigkeit zur Glaubensgemeinschaft der Ahmadiyya kann vorab zur Vermeidung von Wiederholungen auf die Erwägungen 5.5.1 und 5.5.2 im bereits erwähnten Urteil des Bundesverwaltungsgerichts D-7054/2006 vom 1. Februar 2008 verwiesen werden. Im Zusammenhang mit der Glaubenszugehörigkeit zur Ahmadiyya ist zudem festzuhalten, dass der Beschwerdeführer keine exponierte Stellung innerhalb seiner Gemeinde geltend macht. Er war weder leitender religiöser Funktionär, noch hatte er eine herausragende Stellung innerhalb der pakistanischen Gesamtgemeinschaft inne (kant. Protokoll S. 11). Sein Vater ist seinen Angaben zu Folge Vorsitzender der Religionsgemeinschaft in seinem Dorf, ohne deshalb aber besonderen Nachteilen ausgesetzt zu sein (Protokoll BFF S. 10). Weshalb gerade der Beschwerdeführer für die pakistanischen Behörden von besonderem Interesse sein oder er der übrigen Bevölkerung im Speziellen auffallen sollte, ist nicht ersichtlich. Weitere in der Person der Beschwerdeführer liegende Gründe, welche gegen einen Vollzug der Wegweisung unter dem Zumutbarkeitsaspekt sprechen, sind auch nicht vorhanden. Der Beschwerdeführer verfügt - wie seine Ehefrau - über eine zehnjährige Schulbildung sowie eine zweijährige Anlehre als Automechaniker und hat bereits auf diesem Beruf gearbeitet, sodass es für ihn kein Problem darstellen dürfte, ein wirtschaftliches Fortkommen zu erzielen respektive den Lebensunterhalt für seine Familie zu verdienen. Sodann können die - soweit aktenkundig - gesunden Beschwerdeführer im Falle eines Wegweisungsvollzug nach Pakistan dort auf ein relativ umfangreiches familiäres Beziehungsnetz zurückgreifen, was für deren Reintegration ohne Zweifel von Nutzen sein dürfte. Auch ist davon auszugehen, dass die Familienangehörigen den Beschwerdeführern in einer Anfangsphase von allfälligen Schwierigkeiten unterstützend zur Seite stehen werden. Ferner sind die beiden (Alter) respektive (Alter) Kinder der Beschwerdeführer (noch) in einem Alter, in welchem sie sich (noch) nicht in einem derartigen Ausmass an die hiesige Lebensweise assimiliert haben, dass ihre Integration in der Heimat in Frage zu stellen wäre (vgl. dazu EMARK 2005 Nr. 6, S. 57 f., Erw. 6). Es ist den Beschwerdeführern deshalb zuzumuten, sich wieder in Pakistan niederzulassen und eine neue Existenz aufzubauen. Aufgrund dieser Erwägungen gelangt das Bundesverwaltungsgericht zur Überzeugung, dass die Beschwerdeführer bei einer Rückkehr in ihre Heimat keiner konkreten Gefährdung im Sinne von Art. 83 Abs. 4 AuG ausgesetzt sind. Nach dem Gesagten erweist sich Vollzug der Wegweisung auch als zumutbar.</w:t>
      </w:r>
    </w:p>
    <w:p>
      <w:r>
        <w:rPr>
          <w:b/>
        </w:rPr>
        <w:t>E. 6.6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Der Beschwerdeführer geht seit dem 1. März 2003 einer geregelten Erwerbstätigkeit nach und gilt demnach nicht als bedürftig. Mangels Erfüllen der kumulativen Voraussetzungen von Art. 65 Abs. 1 VwVG (bedürftig/nicht aussichtslos) ist das noch offene Gesuch um Gewährung der unentgeltlichen Rechtspflege abzuweisen. Die Verfahrenskosten sind demnach den Beschwerdeführern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