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D-6549/2025 vom 17. September 2025</w:t>
      </w:r>
    </w:p>
    <w:p>
      <w:r>
        <w:t>Bundesverwaltungsgericht, 2025-09-17, DE</w:t>
      </w:r>
    </w:p>
    <w:p>
      <w:r>
        <w:rPr>
          <w:b/>
        </w:rPr>
        <w:t xml:space="preserve">Quelle: </w:t>
      </w:r>
      <w:r>
        <w:t>https://mcp.opencaselaw.ch/entscheid/bvger_D-6549_2025</w:t>
      </w:r>
    </w:p>
    <w:p>
      <w:r>
        <w:t>FR: TAF D-6549/2025 du 17 septembre 2025</w:t>
      </w:r>
    </w:p>
    <w:p>
      <w:r>
        <w:t>IT: TAF D-6549/2025 del 17 settembre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D-6549/2025 Seite 4</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4.2</w:t>
      </w:r>
    </w:p>
    <w:p>
      <w:r>
        <w:t>4.2.1 Nach Prüfung der Akten ist in Übereinstimmung mit der Vorinstanz festzustellen, dass die Vorbringen des Beschwerdeführers den Anforderungen an die Flüchtlingseigenschaft nach Art. 3 AsylG respektive denjenigen an das Glaubhaftmachen gemäss Art. 7 AsylG nicht standzuhalten vermögen, weshalb vorab auf die ausführlichen sowie zutreffenden Erwägungen der Vorinstanz zu verweisen ist (vgl. angefochtene Verfügung S. 4-7). Die vorinstanzliche Schlussfolgerung ist weder in tatsächlicher noch in rechtlicher Hinsicht zu beanstanden. Die unsubstantiierten und unbelegten Beschwerdevorbringen sind nicht geeignet, zu einer von der Vorinstanz abweichenden Betrachtungsweise zu gelangen, vermögen sie dieser doch nichts Stichhaltiges entgegenzuhalten (vgl. Beschwerde S. 4-8).</w:t>
      </w:r>
    </w:p>
    <w:p>
      <w:r>
        <w:rPr>
          <w:b/>
        </w:rPr>
        <w:t>E. 4.2.1</w:t>
      </w:r>
    </w:p>
    <w:p>
      <w:r>
        <w:t>Nach Prüfung der Akten ist in Übereinstimmung mit der Vorinstanz festzustellen, dass die Vorbringen des Beschwerdeführers den Anforderun- gen an die Flüchtlingseigenschaft nach Art. 3 AsylG respektive denjenigen an das Glaubhaftmachen gemäss Art. 7 AsylG nicht standzuhalten vermö- gen, weshalb vorab auf die ausführlichen sowie zutreffenden Erwägungen der Vorinstanz zu verweisen ist (vgl. angefochtene Verfügung S. 4–7). Die vorinstanzliche Schlussfolgerung ist weder in tatsächlicher noch in rechtli- cher Hinsicht zu beanstanden. Die unsubstantiierten und unbelegten Be- schwerdevorbringen sind nicht geeignet, zu einer von der Vorinstanz ab- weichenden Betrachtungsweise zu gelangen, vermögen sie dieser doch nichts Stichhaltiges entgegenzuhalten (vgl. Beschwerde S. 4–8).</w:t>
      </w:r>
    </w:p>
    <w:p>
      <w:r>
        <w:t>D-6549/2025 Seite 5</w:t>
      </w:r>
    </w:p>
    <w:p>
      <w:r>
        <w:rPr>
          <w:b/>
        </w:rPr>
        <w:t>E. 4.2.2</w:t>
      </w:r>
    </w:p>
    <w:p>
      <w:r>
        <w:t>Was die generell behaupteten erlittenen Nachteile oder Diskriminie- rungen aufgrund der Ethnie und Herkunft des Beschwerdeführers anbe- langt, hat die Vorinstanz zutreffend festgestellt, dass es sich bei diesen nicht um ernsthafte Nachteile im Sinne des Asylgesetzes handelt, die einen Verbleib im Heimatland verunmöglicht oder unzumutbar erschwert hätten, konnte der Beschwerdeführer doch in der Türkei bis zu seiner Ausreise trotzdem ein geregeltes Leben führen, die Mittelschule abschliessen und verschiedene Arbeitstätigkeiten ausüben. Die vom Beschwerdeführer in diesem Zusammenhang konkret geltend gemachten Vorkommnisse gehen in ihrer Intensität nicht über die Nachteile hinaus, welche weite Teile der kurdischen Bevölkerung in der Türkei in ähnlicher Weise treffen können. Im Übrigen stellt das Bundesverwaltungsgericht in konstanter Praxis sehr hohe Anforderungen an die Bejahung einer Kollektivverfolgung, die im Fall der Kurden – auch unter Berücksichtigung der aktuellen politischen Ent- wicklungen in der Türkei – nicht erfüllt sind (vgl. zum Ganzen das Refe- renzurteil des BVGer E-4103/2024 vom 8. November 2024).</w:t>
      </w:r>
    </w:p>
    <w:p>
      <w:r>
        <w:rPr>
          <w:b/>
        </w:rPr>
        <w:t>E. 4.2.3</w:t>
      </w:r>
    </w:p>
    <w:p>
      <w:r>
        <w:t>Soweit der Beschwerdeführer rügt, die Vorinstanz habe die flücht- lingsrechtliche Relevanz der von ihm geltend gemachten Blutrache ver- kannt, kann ihm nicht gefolgt werden. Die Flüchtlingseigenschaft setzt eine Verfolgung aus den in Art. 3 Abs. 1 AsylG abschliessend genannten Moti- ven (Rasse, Religion, Nationalität, Zugehörigkeit zu einer bestimmten so- zialen Gruppe oder politische Anschauung) voraus. Die vom Beschwerde- führer geschilderte Blutrache gründet nach seinen eigenen Angaben auf kriminellen Handlungen seines Onkels väterlicherseits (vgl. SEM- act. 15/10 F50 f., 53). Es handelt sich demnach um eine private Fehde, der offensichtlich kein flüchtlingsrechtlich relevantes Motiv zugrunde liegt. Hinsichtlich des Vorbringens, der türkische Staat sei bei Blutrachekonflik- ten schutzunwillig oder schutzunfähig, ist festzustellen, dass diese pau- schale und unsubstantiierte Behauptung durch die Faktenlage im konkre- ten Fall widerlegt wird. Der Beschwerdeführer führte selbst aus, dass sich sowohl sein Onkel als auch die Person, auf die dieser geschossen haben soll, in Haft befinden würden (vgl. SEM-act. 15/10 F58). Dies belegt eine funktionierende Strafverfolgung und widerspricht damit der Annahme einer fehlenden Schutzfähigkeit des Staates. Gemäss ständiger Praxis des Bun- desverwaltungsgerichts gelten die türkischen Behörden in Fällen von Blut- rache denn auch grundsätzlich als schutzfähig und schutzwillig (vgl. Urteile des BVGer D-3389/2025 vom 26. Mai 2025 E. 6.5 und E-5699/2023 vom 28. März 2024 E. 6.3). Es wäre dem Beschwerdeführer zuzumuten gewe- sen, diesen Schutz in Anspruch zu nehmen, was er nach eigener Aussage aus traditionellen Gründen unterliess (vgl. SEM-act. 35/13 F19).</w:t>
      </w:r>
    </w:p>
    <w:p>
      <w:r>
        <w:t>D-6549/2025 Seite 6 Schliesslich entkräftet auch der vom Beschwerdeführer geschilderte Ge- schehensablauf die Annahme einer landesweiten, unausweichlichen Ge- fahr. Nach dem Umzug von D._______ nach E._______ im Jahr (…) ist der Familie im Zusammenhang mit der Blutrache nachweislich nichts zu- gestossen (vgl. SEM-act. 35/13 F18). Die blosse Angst, von der gegneri- schen Familie gesucht zu werden (vgl. SEM-act. 35/13 F39), vermag eine objektiv begründete Furcht nicht zu substantiieren.</w:t>
      </w:r>
    </w:p>
    <w:p>
      <w:r>
        <w:rPr>
          <w:b/>
        </w:rPr>
        <w:t>E. 4.2.4</w:t>
      </w:r>
    </w:p>
    <w:p>
      <w:r>
        <w:t>Was die geltend gemachte politische Verfolgung anbelangt, so errei- chen die Vorbringen des Beschwerdeführers, einzeln und in ihrer Gesamt- heit betrachtet, nicht die für die Annahme einer asylrelevanten Verfolgung erforderliche Intensität und auch ein unerträglicher psychischer Druck ist zu verneinen, zumal er – wie bereits zuvor erwähnt – in der Türkei bis zu seiner Ausreise trotzdem ein geregeltes Leben führen konnte. Die vom Be- schwerdeführer dargelegten politischen Aktivitäten für die HDP, wie die Teilnahme an Newroz-Feiern und Kundgebungen, Reinigungsarbeiten oder das Fahren von Wählern zur Urne (vgl. SEM-act. 15/10 F41), sind als niederschwellig einzustufen. Er hatte keine besondere Funktion inne und ist nicht in exponierter Weise in Erscheinung getreten. Ein solches Profil begründet für sich allein kein nachhaltiges Interesse der türkischen Behör- den. Bezüglich der in diesem Kontext erlittenen Nachteile ist zudem fest- zuhalten, dass diese keinen direkten Kausalzusammenhang zu seiner Ausreise im September (…) aufweisen. Die mehrmaligen, jeweils nur we- nige Stunden dauernden Ingewahrsamnahmen (vgl. SEM-act. 15/10 F47 f.) führten nie zu einem Strafverfahren. Der gravierende Vorfall des Nasen- beinbruchs ereignete sich bereits (…) im Rahmen einer Hausdurchsu- chung bei seinem als kriminell eingestuften Onkel (vgl. SEM-act. 35/13 F68) und war mithin nicht aufgrund seiner eigenen politischen Betätigung gezielt gegen ihn gerichtet.</w:t>
      </w:r>
    </w:p>
    <w:p>
      <w:r>
        <w:rPr>
          <w:b/>
        </w:rPr>
        <w:t>E. 4.2.5</w:t>
      </w:r>
    </w:p>
    <w:p>
      <w:r>
        <w:t>Hinsichtlich des als unmittelbar fluchtauslösend geschilderten Ver- suchs der Polizei, ihn zur Bespitzelung seines ehemaligen Arbeitgebers zu nötigen, ist festzustellen, dass der Grund für diesen Druck hinfällig gewor- den ist. Der Beschwerdeführer gab an, von seinem Vater erfahren zu ha- ben, dass sich sein ehemaliger Arbeitgeber mutmasslich in Haft befinde (vgl. SEM-act. 35/13 F43). Damit besteht für die türkischen Behörden so- weit ersichtlich kein Anlass mehr, vom Beschwerdeführer Informationen über diesen zu verlangen. Damit entfällt die objektive Grundlage der Furcht, weshalb nicht davon auszugehen ist, dass der Beschwerdeführer bei einer Rückkehr aus diesem spezifischen Grund ernsthaften Nachteilen ausgesetzt wäre.</w:t>
      </w:r>
    </w:p>
    <w:p>
      <w:r>
        <w:t>D-6549/2025 Seite 7</w:t>
      </w:r>
    </w:p>
    <w:p>
      <w:r>
        <w:rPr>
          <w:b/>
        </w:rPr>
        <w:t>E. 4.2.6</w:t>
      </w:r>
    </w:p>
    <w:p>
      <w:r>
        <w:t>Soweit der Beschwerdeführer schliesslich vorbringt, die Vorinstanz habe das gegen ihn eingeleitete Strafverfahren zu Unrecht als nicht asyl- relevant eingestuft, vermag er ebenfalls nicht durchzudringen. Der Be- schwerdeführer hat für die Existenz eines Strafverfahrens sowie eines Haftbefehls keinerlei Beweismittel eingereicht. Der Verweis auf einen Ge- heimhaltungsbeschluss, welcher seinem Anwalt die Akteneinsicht verun- mögliche (vgl. SEM-act. 35/13 F57), bleibt eine unsubstantiierte und nicht überprüfbare Behauptung. Selbst wenn man von der Existenz eines sol- chen Verfahrens ausginge, würde dies nicht automatisch zur Anerkennung der Flüchtlingseigenschaft führen. Entscheidend ist, ob mit beachtlicher Wahrscheinlichkeit eine Verurteilung zu einer Strafe droht, die einen ernst- haften Nachteil im Sinne von Art. 3 AsylG darstellt. Dafür gibt es vorliegend keine Hinweise, da nicht klar ist, was dem Beschwerdeführer überhaupt vorgeworfen wird. Der strafrechtlich als unbescholten geltende Beschwer- deführer war weder als Parteifunktionär tätig noch ist er durch exponierte öffentliche Kritik am Regime hervorgetreten (vgl. SEM-act. 15/10 F41). An- haltspunkte für schwerwiegende politische Vorwürfe sind demnach nicht ersichtlich, da der Beschwerdeführer mithin über kein geschärftes opposi- tionelles Profil verfügt. Die Aussage seines Anwalts, er wisse nicht, ob der Beschwerdeführer sieben Jahre Haft bekommen oder nur für kurze Zeit festgenommen würde (vgl. SEM-act. 35/13 F55), ist rein spekulativ, zumal der Anwalt den Inhalt der Akten angeblich nicht kennt. Es ist daher gestützt auf die Aktenkundigen Umstände davon auszugehen, dass selbst im Falle einer Verurteilung mit einer bedingten Strafe zu rechnen wäre, welche die Schwelle der Asylrelevanz nicht erreicht (vgl. Referenzurteil BVGer E- 4103/2024 vom 8. November 2024 E. 8.7.1 f.).</w:t>
      </w:r>
    </w:p>
    <w:p>
      <w:r>
        <w:rPr>
          <w:b/>
        </w:rPr>
        <w:t>E. 4.3</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w:t>
      </w:r>
    </w:p>
    <w:p>
      <w:r>
        <w:rPr>
          <w:b/>
        </w:rPr>
        <w:t>E. 5</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t>D-6549/2025 Seite 8</w:t>
      </w:r>
    </w:p>
    <w:p>
      <w:r>
        <w:rPr>
          <w:b/>
        </w:rPr>
        <w:t>E. 6</w:t>
      </w:r>
    </w:p>
    <w:p>
      <w:r>
        <w:t>6.1 Ist der Vollzug der Wegweisung nicht zulässig, nicht zumutbar oder nicht möglich, so regelt das SEM das Anwesenheitsverhältnis nach den gesetzlichen Bestimmungen über die vorläufige Aufnahme (Art. 44 AsylG; Art. 83 Abs. 1 AIG [SR 142.20]).</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Weder die allgemeine Lage in der Türkei noch individuelle Gründe wirt- schaftlicher oder sozialer Natur lassen auf eine konkrete Gefährdung des Beschwerdeführers im Fall einer Rückkehr schliessen. Diesbezüglich kann vollumfänglich auf die zutreffenden und überzeugenden vorinstanzlichen Ausführungen verwiesen werden (vgl. angefochtene Verfügung S. 7 f.). Der Beschwerdeführer verfügt über einen Mittelschulabschluss, Arbeitser- fahrung in diversen Branchen (vgl. SEM-act. 15/10 F16) sowie über ein</w:t>
      </w:r>
    </w:p>
    <w:p>
      <w:r>
        <w:t>D-6549/2025 Seite 9 familiäres Umfeld und Freunde in der Türkei, bei welchen er während sei- nes dortigen Aufenthalts hat leben können. Es ist davon auszugehen, dass es ihm angesichts seiner Ausbildung, seines Alters und seiner Berufserfah- rungen möglich sein wird, einer Erwerbstätigkeit nachgehen zu können und er damit bei einer Rückkehr in keine existenzbedrohende Notlage geraten dürfte. Es liegen sodann keine gesundheitlichen Gründe vor, welche gegen die Zumutbarkeit des Wegweisungsvollzugs sprechen würden. Damit er- weist sich auch der Vollzug der Wegweisung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Verfahrensausgang sind die Kosten dem Beschwerdeführer aufzuerlegen (Art. 63 Abs. 1 VwVG) und auf Fr. 750.– festzusetzen (Art. 1– 3 des Reglements vom 21. Februar 2008 über die Kosten und Entschädi- gungen vor dem Bundesverwaltungsgericht [VGKE, SR 173.320.2]). Mit dem vorliegenden Urteil wird der Antrag auf Verzicht auf die Erhebung ei- nes Kostenvorschusses gegenstandslos.</w:t>
      </w:r>
    </w:p>
    <w:p>
      <w:r>
        <w:t>(Dispositiv nächste Seite)</w:t>
      </w:r>
    </w:p>
    <w:p>
      <w:r>
        <w:t>D-6549/2025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